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7" w:rsidRPr="00713259" w:rsidRDefault="00F75414" w:rsidP="00B7219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2903855</wp:posOffset>
            </wp:positionH>
            <wp:positionV relativeFrom="margin">
              <wp:posOffset>172085</wp:posOffset>
            </wp:positionV>
            <wp:extent cx="2957830" cy="476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00" w:rsidRPr="003B0E35">
        <w:t xml:space="preserve">                                            </w:t>
      </w: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</w:rPr>
      </w:pPr>
    </w:p>
    <w:p w:rsidR="00B72197" w:rsidRPr="00713259" w:rsidRDefault="00B72197" w:rsidP="00B72197">
      <w:pPr>
        <w:spacing w:after="120" w:line="360" w:lineRule="auto"/>
        <w:jc w:val="center"/>
        <w:rPr>
          <w:b/>
          <w:bCs/>
          <w:smallCaps/>
        </w:rPr>
      </w:pPr>
      <w:r w:rsidRPr="00713259">
        <w:rPr>
          <w:b/>
          <w:bCs/>
          <w:smallCaps/>
        </w:rPr>
        <w:t>RELAZIONE DEL</w:t>
      </w:r>
    </w:p>
    <w:p w:rsidR="00B72197" w:rsidRPr="00713259" w:rsidRDefault="00B72197" w:rsidP="00B72197">
      <w:pPr>
        <w:spacing w:after="120" w:line="360" w:lineRule="auto"/>
        <w:jc w:val="center"/>
        <w:rPr>
          <w:b/>
          <w:bCs/>
          <w:smallCaps/>
        </w:rPr>
      </w:pPr>
      <w:r w:rsidRPr="00713259">
        <w:rPr>
          <w:b/>
          <w:bCs/>
          <w:smallCaps/>
        </w:rPr>
        <w:t>CONSIGLIO DI AMMINISTRAZIONE</w:t>
      </w:r>
    </w:p>
    <w:p w:rsidR="00B72197" w:rsidRPr="00713259" w:rsidRDefault="00B72197" w:rsidP="00B72197">
      <w:pPr>
        <w:spacing w:after="120" w:line="360" w:lineRule="auto"/>
        <w:jc w:val="center"/>
        <w:rPr>
          <w:b/>
          <w:bCs/>
        </w:rPr>
      </w:pPr>
      <w:r w:rsidRPr="00713259">
        <w:rPr>
          <w:b/>
          <w:bCs/>
          <w:smallCaps/>
        </w:rPr>
        <w:t>SULLA REMUNERAZIONE</w:t>
      </w: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  <w:r w:rsidRPr="00713259">
        <w:rPr>
          <w:b/>
          <w:bCs/>
          <w:smallCaps/>
        </w:rPr>
        <w:t>(predisposta ai sensi degli artt. 123-</w:t>
      </w:r>
      <w:r w:rsidRPr="00713259">
        <w:rPr>
          <w:b/>
          <w:bCs/>
          <w:i/>
          <w:iCs/>
          <w:smallCaps/>
        </w:rPr>
        <w:t xml:space="preserve">ter </w:t>
      </w:r>
      <w:r w:rsidRPr="00713259">
        <w:rPr>
          <w:b/>
          <w:bCs/>
          <w:smallCaps/>
        </w:rPr>
        <w:t>del TUF e 84-</w:t>
      </w:r>
      <w:r w:rsidRPr="00713259">
        <w:rPr>
          <w:b/>
          <w:bCs/>
          <w:i/>
          <w:smallCaps/>
        </w:rPr>
        <w:t>quater</w:t>
      </w:r>
      <w:r w:rsidRPr="00713259">
        <w:rPr>
          <w:b/>
          <w:bCs/>
          <w:smallCaps/>
        </w:rPr>
        <w:t xml:space="preserve"> del Regolamento Emittenti nonché dell’art. </w:t>
      </w:r>
      <w:r w:rsidR="00B3689F">
        <w:rPr>
          <w:b/>
          <w:bCs/>
          <w:smallCaps/>
        </w:rPr>
        <w:t>6</w:t>
      </w:r>
      <w:r w:rsidRPr="00713259">
        <w:rPr>
          <w:b/>
          <w:bCs/>
          <w:smallCaps/>
        </w:rPr>
        <w:t xml:space="preserve"> del Codice di Autodisciplina degli emittenti quotati promosso da Borsa Italiana )</w:t>
      </w: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Pr="00713259" w:rsidRDefault="00B72197" w:rsidP="00B72197">
      <w:pPr>
        <w:tabs>
          <w:tab w:val="left" w:pos="1620"/>
          <w:tab w:val="left" w:pos="7200"/>
        </w:tabs>
        <w:spacing w:after="120"/>
        <w:ind w:right="-5"/>
        <w:jc w:val="center"/>
        <w:rPr>
          <w:b/>
          <w:bCs/>
          <w:smallCaps/>
        </w:rPr>
      </w:pPr>
    </w:p>
    <w:p w:rsidR="00B72197" w:rsidRPr="00713259" w:rsidRDefault="00B72197" w:rsidP="005B652B">
      <w:pPr>
        <w:pStyle w:val="Rientrocorpodeltesto"/>
        <w:ind w:left="0" w:right="-5"/>
        <w:jc w:val="center"/>
        <w:sectPr w:rsidR="00B72197" w:rsidRPr="00713259" w:rsidSect="00AA1858">
          <w:footerReference w:type="even" r:id="rId9"/>
          <w:footerReference w:type="default" r:id="rId10"/>
          <w:pgSz w:w="11907" w:h="16839" w:code="9"/>
          <w:pgMar w:top="1701" w:right="1701" w:bottom="1701" w:left="1701" w:header="720" w:footer="720" w:gutter="0"/>
          <w:cols w:space="720"/>
          <w:noEndnote/>
          <w:titlePg/>
          <w:docGrid w:linePitch="326"/>
        </w:sectPr>
      </w:pPr>
      <w:r w:rsidRPr="00713259">
        <w:rPr>
          <w:b/>
          <w:bCs/>
          <w:smallCaps/>
        </w:rPr>
        <w:t>A</w:t>
      </w:r>
      <w:r w:rsidRPr="00713259">
        <w:rPr>
          <w:b/>
        </w:rPr>
        <w:t xml:space="preserve">pprovata dal Consiglio di Amministrazione di </w:t>
      </w:r>
      <w:r>
        <w:rPr>
          <w:b/>
        </w:rPr>
        <w:t>Bolzoni</w:t>
      </w:r>
      <w:r w:rsidRPr="00713259">
        <w:rPr>
          <w:b/>
        </w:rPr>
        <w:t xml:space="preserve"> S.p.A. </w:t>
      </w:r>
      <w:r w:rsidRPr="00713259">
        <w:rPr>
          <w:b/>
        </w:rPr>
        <w:br/>
        <w:t xml:space="preserve">in data </w:t>
      </w:r>
      <w:r w:rsidR="00ED0FE2">
        <w:rPr>
          <w:b/>
        </w:rPr>
        <w:t xml:space="preserve"> 1</w:t>
      </w:r>
      <w:r w:rsidR="00007598">
        <w:rPr>
          <w:b/>
        </w:rPr>
        <w:t>2</w:t>
      </w:r>
      <w:r w:rsidR="00ED0FE2">
        <w:rPr>
          <w:b/>
        </w:rPr>
        <w:t xml:space="preserve"> </w:t>
      </w:r>
      <w:r w:rsidRPr="00713259">
        <w:rPr>
          <w:b/>
        </w:rPr>
        <w:t>marzo 201</w:t>
      </w:r>
      <w:r w:rsidR="00007598">
        <w:rPr>
          <w:b/>
        </w:rPr>
        <w:t>5</w:t>
      </w:r>
      <w:bookmarkStart w:id="0" w:name="_Toc190028686"/>
      <w:bookmarkStart w:id="1" w:name="_Toc190073287"/>
    </w:p>
    <w:p w:rsidR="00B72197" w:rsidRPr="00713259" w:rsidRDefault="00B72197" w:rsidP="00B72197">
      <w:pPr>
        <w:spacing w:after="120"/>
        <w:ind w:right="-5"/>
        <w:jc w:val="center"/>
        <w:rPr>
          <w:b/>
          <w:bCs/>
          <w:smallCaps/>
          <w:sz w:val="22"/>
          <w:szCs w:val="22"/>
        </w:rPr>
      </w:pPr>
      <w:r w:rsidRPr="00713259">
        <w:rPr>
          <w:b/>
          <w:bCs/>
          <w:smallCaps/>
          <w:sz w:val="22"/>
          <w:szCs w:val="22"/>
        </w:rPr>
        <w:lastRenderedPageBreak/>
        <w:t>GLOSSARIO</w:t>
      </w:r>
      <w:bookmarkEnd w:id="0"/>
      <w:bookmarkEnd w:id="1"/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6649"/>
      </w:tblGrid>
      <w:tr w:rsidR="00B72197" w:rsidRPr="00713259" w:rsidTr="001B410F">
        <w:tc>
          <w:tcPr>
            <w:tcW w:w="1600" w:type="pct"/>
            <w:vAlign w:val="center"/>
          </w:tcPr>
          <w:p w:rsidR="00B72197" w:rsidRPr="000A0CF7" w:rsidRDefault="000A0CF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0A0CF7">
              <w:rPr>
                <w:b/>
                <w:bCs/>
                <w:sz w:val="22"/>
                <w:szCs w:val="22"/>
              </w:rPr>
              <w:t>Bolzoni</w:t>
            </w:r>
            <w:r w:rsidR="00B82F0C">
              <w:rPr>
                <w:b/>
                <w:bCs/>
                <w:sz w:val="22"/>
                <w:szCs w:val="22"/>
              </w:rPr>
              <w:t xml:space="preserve"> / Società</w:t>
            </w:r>
            <w:r w:rsidR="00723405">
              <w:rPr>
                <w:b/>
                <w:bCs/>
                <w:sz w:val="22"/>
                <w:szCs w:val="22"/>
              </w:rPr>
              <w:t xml:space="preserve"> / Emittente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Bolzoni</w:t>
            </w:r>
            <w:r w:rsidRPr="00713259">
              <w:rPr>
                <w:bCs/>
                <w:sz w:val="22"/>
                <w:szCs w:val="22"/>
                <w:lang w:val="en-GB"/>
              </w:rPr>
              <w:t xml:space="preserve"> S.p.A.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Codice di Autodisciplina o Codice</w:t>
            </w:r>
          </w:p>
        </w:tc>
        <w:tc>
          <w:tcPr>
            <w:tcW w:w="3400" w:type="pct"/>
            <w:vAlign w:val="center"/>
          </w:tcPr>
          <w:p w:rsidR="00B72197" w:rsidRPr="00713259" w:rsidRDefault="00B3689F" w:rsidP="004F62E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>Il</w:t>
            </w:r>
            <w:r w:rsidRPr="00713259">
              <w:rPr>
                <w:sz w:val="22"/>
                <w:szCs w:val="22"/>
              </w:rPr>
              <w:t xml:space="preserve"> Codice di Autodisciplina delle società quotate</w:t>
            </w:r>
            <w:r w:rsidR="004F62EF">
              <w:rPr>
                <w:sz w:val="22"/>
                <w:szCs w:val="22"/>
              </w:rPr>
              <w:t>, nell’aggiornata versione</w:t>
            </w:r>
            <w:r w:rsidRPr="00713259">
              <w:rPr>
                <w:sz w:val="22"/>
                <w:szCs w:val="22"/>
              </w:rPr>
              <w:t xml:space="preserve"> approvat</w:t>
            </w:r>
            <w:r w:rsidR="004F62EF">
              <w:rPr>
                <w:sz w:val="22"/>
                <w:szCs w:val="22"/>
              </w:rPr>
              <w:t>a</w:t>
            </w:r>
            <w:r w:rsidRPr="00713259">
              <w:rPr>
                <w:sz w:val="22"/>
                <w:szCs w:val="22"/>
              </w:rPr>
              <w:t xml:space="preserve"> nel </w:t>
            </w:r>
            <w:r w:rsidR="004F62EF">
              <w:rPr>
                <w:sz w:val="22"/>
                <w:szCs w:val="22"/>
              </w:rPr>
              <w:t>luglio 2014</w:t>
            </w:r>
            <w:r w:rsidRPr="00713259">
              <w:rPr>
                <w:sz w:val="22"/>
                <w:szCs w:val="22"/>
              </w:rPr>
              <w:t xml:space="preserve"> dal Comitato per la </w:t>
            </w:r>
            <w:r w:rsidRPr="00713259">
              <w:rPr>
                <w:i/>
                <w:sz w:val="22"/>
                <w:szCs w:val="22"/>
              </w:rPr>
              <w:t>Corporate Governance</w:t>
            </w:r>
            <w:r w:rsidRPr="00713259">
              <w:rPr>
                <w:sz w:val="22"/>
                <w:szCs w:val="22"/>
              </w:rPr>
              <w:t xml:space="preserve"> e promosso da Borsa Italiana.</w:t>
            </w:r>
          </w:p>
        </w:tc>
      </w:tr>
      <w:tr w:rsidR="00B72197" w:rsidRPr="00713259" w:rsidTr="005B652B">
        <w:tc>
          <w:tcPr>
            <w:tcW w:w="1600" w:type="pct"/>
            <w:vAlign w:val="center"/>
          </w:tcPr>
          <w:p w:rsidR="00B72197" w:rsidRPr="00713259" w:rsidRDefault="00B72197" w:rsidP="002114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 xml:space="preserve">Comitato per </w:t>
            </w:r>
            <w:smartTag w:uri="urn:schemas-microsoft-com:office:smarttags" w:element="PersonName">
              <w:smartTagPr>
                <w:attr w:name="ProductID" w:val="la Remunerazione"/>
              </w:smartTagPr>
              <w:r w:rsidRPr="00713259">
                <w:rPr>
                  <w:b/>
                  <w:bCs/>
                  <w:sz w:val="22"/>
                  <w:szCs w:val="22"/>
                </w:rPr>
                <w:t>la Remunerazione</w:t>
              </w:r>
            </w:smartTag>
            <w:r w:rsidRPr="00713259">
              <w:rPr>
                <w:b/>
                <w:bCs/>
                <w:sz w:val="22"/>
                <w:szCs w:val="22"/>
              </w:rPr>
              <w:t xml:space="preserve"> o Comitato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5B652B">
            <w:pPr>
              <w:tabs>
                <w:tab w:val="left" w:pos="6058"/>
              </w:tabs>
              <w:spacing w:before="120" w:after="120"/>
              <w:ind w:right="224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 xml:space="preserve">Il Comitato per </w:t>
            </w:r>
            <w:smartTag w:uri="urn:schemas-microsoft-com:office:smarttags" w:element="PersonName">
              <w:smartTagPr>
                <w:attr w:name="ProductID" w:val="la Remunerazione"/>
              </w:smartTagPr>
              <w:r w:rsidRPr="00713259">
                <w:rPr>
                  <w:bCs/>
                  <w:sz w:val="22"/>
                  <w:szCs w:val="22"/>
                </w:rPr>
                <w:t>la Remunerazione</w:t>
              </w:r>
            </w:smartTag>
            <w:r w:rsidRPr="00713259">
              <w:rPr>
                <w:bCs/>
                <w:sz w:val="22"/>
                <w:szCs w:val="22"/>
              </w:rPr>
              <w:t xml:space="preserve"> costituito da </w:t>
            </w:r>
            <w:r w:rsidRPr="00B72197">
              <w:rPr>
                <w:bCs/>
                <w:sz w:val="22"/>
                <w:szCs w:val="22"/>
              </w:rPr>
              <w:t xml:space="preserve">Bolzoni </w:t>
            </w:r>
            <w:r w:rsidRPr="00713259">
              <w:rPr>
                <w:bCs/>
                <w:sz w:val="22"/>
                <w:szCs w:val="22"/>
              </w:rPr>
              <w:t>ai sensi del Codice.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B66DED" w:rsidRDefault="00B7219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Consiglio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6DED">
              <w:rPr>
                <w:b/>
                <w:bCs/>
                <w:sz w:val="22"/>
                <w:szCs w:val="22"/>
              </w:rPr>
              <w:t>di Amministrazione</w:t>
            </w:r>
            <w:r>
              <w:rPr>
                <w:b/>
                <w:bCs/>
                <w:sz w:val="22"/>
                <w:szCs w:val="22"/>
              </w:rPr>
              <w:t xml:space="preserve"> o Consiglio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 xml:space="preserve">Il Consiglio di Amministrazione di </w:t>
            </w:r>
            <w:r w:rsidRPr="00B72197">
              <w:rPr>
                <w:bCs/>
                <w:sz w:val="22"/>
                <w:szCs w:val="22"/>
              </w:rPr>
              <w:t>Bolzoni</w:t>
            </w:r>
            <w:r w:rsidRPr="00713259">
              <w:rPr>
                <w:bCs/>
                <w:sz w:val="22"/>
                <w:szCs w:val="22"/>
              </w:rPr>
              <w:t>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Collegio Sindacale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>Il C</w:t>
            </w:r>
            <w:r>
              <w:rPr>
                <w:bCs/>
                <w:sz w:val="22"/>
                <w:szCs w:val="22"/>
              </w:rPr>
              <w:t xml:space="preserve">ollegio Sindacale </w:t>
            </w:r>
            <w:r w:rsidRPr="00713259">
              <w:rPr>
                <w:bCs/>
                <w:sz w:val="22"/>
                <w:szCs w:val="22"/>
              </w:rPr>
              <w:t xml:space="preserve">di </w:t>
            </w:r>
            <w:r w:rsidRPr="00B72197">
              <w:rPr>
                <w:bCs/>
                <w:sz w:val="22"/>
                <w:szCs w:val="22"/>
              </w:rPr>
              <w:t>Bolzoni</w:t>
            </w:r>
            <w:r w:rsidRPr="00713259">
              <w:rPr>
                <w:bCs/>
                <w:sz w:val="22"/>
                <w:szCs w:val="22"/>
              </w:rPr>
              <w:t>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904795" w:rsidRDefault="00B7219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904795">
              <w:rPr>
                <w:b/>
                <w:bCs/>
                <w:sz w:val="22"/>
                <w:szCs w:val="22"/>
              </w:rPr>
              <w:t>Dirigenti con Responsabilità Strategiche</w:t>
            </w:r>
          </w:p>
        </w:tc>
        <w:tc>
          <w:tcPr>
            <w:tcW w:w="3400" w:type="pct"/>
            <w:vAlign w:val="center"/>
          </w:tcPr>
          <w:p w:rsidR="00B72197" w:rsidRPr="00871DCC" w:rsidRDefault="00B72197" w:rsidP="002114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871DCC">
              <w:rPr>
                <w:bCs/>
                <w:sz w:val="22"/>
                <w:szCs w:val="22"/>
              </w:rPr>
              <w:t xml:space="preserve">I dirigenti, </w:t>
            </w:r>
            <w:r w:rsidR="00E340FF" w:rsidRPr="00871DCC">
              <w:rPr>
                <w:bCs/>
                <w:sz w:val="22"/>
                <w:szCs w:val="22"/>
              </w:rPr>
              <w:t xml:space="preserve">come definiti </w:t>
            </w:r>
            <w:r w:rsidRPr="00871DCC">
              <w:rPr>
                <w:bCs/>
                <w:sz w:val="22"/>
                <w:szCs w:val="22"/>
              </w:rPr>
              <w:t>all’art. 65, comma 1-</w:t>
            </w:r>
            <w:r w:rsidRPr="00871DCC">
              <w:rPr>
                <w:bCs/>
                <w:i/>
                <w:sz w:val="22"/>
                <w:szCs w:val="22"/>
              </w:rPr>
              <w:t>quater</w:t>
            </w:r>
            <w:r w:rsidRPr="00871DCC">
              <w:rPr>
                <w:bCs/>
                <w:sz w:val="22"/>
                <w:szCs w:val="22"/>
              </w:rPr>
              <w:t>, del Regolamento Emittenti</w:t>
            </w:r>
            <w:r w:rsidR="00B3689F" w:rsidRPr="00871DCC">
              <w:rPr>
                <w:bCs/>
                <w:sz w:val="22"/>
                <w:szCs w:val="22"/>
              </w:rPr>
              <w:t xml:space="preserve"> ed all’allegato 1 del Regolamento Consob per delibera n° 17221 del </w:t>
            </w:r>
            <w:smartTag w:uri="urn:schemas-microsoft-com:office:smarttags" w:element="date">
              <w:smartTagPr>
                <w:attr w:name="Year" w:val="2010"/>
                <w:attr w:name="Day" w:val="12"/>
                <w:attr w:name="Month" w:val="3"/>
                <w:attr w:name="ls" w:val="trans"/>
              </w:smartTagPr>
              <w:r w:rsidR="00B3689F" w:rsidRPr="00871DCC">
                <w:rPr>
                  <w:bCs/>
                  <w:sz w:val="22"/>
                  <w:szCs w:val="22"/>
                </w:rPr>
                <w:t>12.3.2010</w:t>
              </w:r>
            </w:smartTag>
            <w:r w:rsidR="00B3689F" w:rsidRPr="00871DCC">
              <w:rPr>
                <w:bCs/>
                <w:sz w:val="22"/>
                <w:szCs w:val="22"/>
              </w:rPr>
              <w:t xml:space="preserve"> e successive modifiche ed integrazioni</w:t>
            </w:r>
            <w:r w:rsidRPr="00871DCC">
              <w:rPr>
                <w:bCs/>
                <w:sz w:val="22"/>
                <w:szCs w:val="22"/>
              </w:rPr>
              <w:t xml:space="preserve">, </w:t>
            </w:r>
            <w:r w:rsidR="0021140F">
              <w:rPr>
                <w:bCs/>
                <w:sz w:val="22"/>
                <w:szCs w:val="22"/>
              </w:rPr>
              <w:t>come</w:t>
            </w:r>
            <w:r w:rsidR="0021140F" w:rsidRPr="00871DCC">
              <w:rPr>
                <w:bCs/>
                <w:sz w:val="22"/>
                <w:szCs w:val="22"/>
              </w:rPr>
              <w:t xml:space="preserve"> </w:t>
            </w:r>
            <w:r w:rsidRPr="00871DCC">
              <w:rPr>
                <w:bCs/>
                <w:sz w:val="22"/>
                <w:szCs w:val="22"/>
              </w:rPr>
              <w:t>individuati dal Consiglio di Amministrazione.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Gruppo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B72197">
              <w:rPr>
                <w:bCs/>
                <w:sz w:val="22"/>
                <w:szCs w:val="22"/>
              </w:rPr>
              <w:t xml:space="preserve">Bolzoni  </w:t>
            </w:r>
            <w:r w:rsidRPr="00713259">
              <w:rPr>
                <w:bCs/>
                <w:sz w:val="22"/>
                <w:szCs w:val="22"/>
              </w:rPr>
              <w:t>e le società da essa controllate ai sensi dell’art. 93 del TUF</w:t>
            </w:r>
            <w:r w:rsidR="00C81950">
              <w:rPr>
                <w:bCs/>
                <w:sz w:val="22"/>
                <w:szCs w:val="22"/>
              </w:rPr>
              <w:t>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Istruzioni al Regolamento di Borsa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AC2E2B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>Le Istruzioni al Regolamento dei Mercati organizzati e gestiti da Borsa Italiana</w:t>
            </w:r>
            <w:r w:rsidR="00C81950">
              <w:rPr>
                <w:bCs/>
                <w:sz w:val="22"/>
                <w:szCs w:val="22"/>
              </w:rPr>
              <w:t>.</w:t>
            </w:r>
          </w:p>
        </w:tc>
      </w:tr>
      <w:tr w:rsidR="00FD7BE1" w:rsidRPr="00713259" w:rsidTr="001B410F">
        <w:tc>
          <w:tcPr>
            <w:tcW w:w="1600" w:type="pct"/>
            <w:vAlign w:val="center"/>
          </w:tcPr>
          <w:p w:rsidR="00FD7BE1" w:rsidRPr="00713259" w:rsidRDefault="00FD7BE1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Penta Holding</w:t>
            </w:r>
          </w:p>
        </w:tc>
        <w:tc>
          <w:tcPr>
            <w:tcW w:w="3400" w:type="pct"/>
            <w:vAlign w:val="center"/>
          </w:tcPr>
          <w:p w:rsidR="00FD7BE1" w:rsidRPr="00713259" w:rsidRDefault="00FD7BE1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Penta Holding s.p.a., società controllante Bolzoni s.p.a.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 xml:space="preserve">Politica di Remunerazione 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0E3490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Politica"/>
              </w:smartTagPr>
              <w:r w:rsidRPr="00713259">
                <w:rPr>
                  <w:bCs/>
                  <w:sz w:val="22"/>
                  <w:szCs w:val="22"/>
                </w:rPr>
                <w:t>La Politica</w:t>
              </w:r>
            </w:smartTag>
            <w:r w:rsidRPr="00713259">
              <w:rPr>
                <w:bCs/>
                <w:sz w:val="22"/>
                <w:szCs w:val="22"/>
              </w:rPr>
              <w:t xml:space="preserve"> di Remunerazione approvata dal Consiglio di Amministrazione, descritta nella Sezione I della presente Relazione</w:t>
            </w:r>
            <w:r w:rsidR="00E05869">
              <w:rPr>
                <w:bCs/>
                <w:sz w:val="22"/>
                <w:szCs w:val="22"/>
              </w:rPr>
              <w:t xml:space="preserve">, su cui l’Assemblea degli Azionisti si è espressa in senso favorevole, da ultimo in data </w:t>
            </w:r>
            <w:r w:rsidR="000E3490">
              <w:rPr>
                <w:bCs/>
                <w:sz w:val="22"/>
                <w:szCs w:val="22"/>
              </w:rPr>
              <w:t xml:space="preserve">29 aprile </w:t>
            </w:r>
            <w:r w:rsidR="00E05869">
              <w:rPr>
                <w:bCs/>
                <w:sz w:val="22"/>
                <w:szCs w:val="22"/>
              </w:rPr>
              <w:t>2014</w:t>
            </w:r>
            <w:r w:rsidRPr="00713259">
              <w:rPr>
                <w:bCs/>
                <w:sz w:val="22"/>
                <w:szCs w:val="22"/>
              </w:rPr>
              <w:t>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/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Regolamento del Comitato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>Il Regolamento del Comitato per la Remunerazione.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Regolamento Emittenti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 xml:space="preserve">Il Regolamento emanato dalla Consob con deliberazione n. 11971 del </w:t>
            </w:r>
            <w:smartTag w:uri="urn:schemas-microsoft-com:office:smarttags" w:element="date">
              <w:smartTagPr>
                <w:attr w:name="Year" w:val="1999"/>
                <w:attr w:name="Day" w:val="14"/>
                <w:attr w:name="Month" w:val="5"/>
                <w:attr w:name="ls" w:val="trans"/>
              </w:smartTagPr>
              <w:r w:rsidRPr="00713259">
                <w:rPr>
                  <w:bCs/>
                  <w:sz w:val="22"/>
                  <w:szCs w:val="22"/>
                </w:rPr>
                <w:t xml:space="preserve">14 maggio </w:t>
              </w:r>
              <w:smartTag w:uri="urn:schemas-microsoft-com:office:smarttags" w:element="metricconverter">
                <w:smartTagPr>
                  <w:attr w:name="ProductID" w:val="1999 in"/>
                </w:smartTagPr>
                <w:r w:rsidRPr="00713259">
                  <w:rPr>
                    <w:bCs/>
                    <w:sz w:val="22"/>
                    <w:szCs w:val="22"/>
                  </w:rPr>
                  <w:t>1999</w:t>
                </w:r>
              </w:smartTag>
            </w:smartTag>
            <w:r w:rsidRPr="00713259">
              <w:rPr>
                <w:bCs/>
                <w:sz w:val="22"/>
                <w:szCs w:val="22"/>
              </w:rPr>
              <w:t xml:space="preserve"> in materia di emittenti, come successivamente modificato e integrato.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Relazione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E643B6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 xml:space="preserve">La presente relazione </w:t>
            </w:r>
            <w:r w:rsidRPr="00713259">
              <w:rPr>
                <w:bCs/>
                <w:iCs/>
                <w:sz w:val="22"/>
                <w:szCs w:val="22"/>
              </w:rPr>
              <w:t>sulla remunerazione</w:t>
            </w:r>
            <w:r w:rsidRPr="00713259">
              <w:rPr>
                <w:bCs/>
                <w:sz w:val="22"/>
                <w:szCs w:val="22"/>
              </w:rPr>
              <w:t xml:space="preserve"> redatta ai sensi degli artt. 123-</w:t>
            </w:r>
            <w:r w:rsidRPr="00713259">
              <w:rPr>
                <w:bCs/>
                <w:i/>
                <w:sz w:val="22"/>
                <w:szCs w:val="22"/>
              </w:rPr>
              <w:t>ter</w:t>
            </w:r>
            <w:r w:rsidRPr="00713259">
              <w:rPr>
                <w:bCs/>
                <w:sz w:val="22"/>
                <w:szCs w:val="22"/>
              </w:rPr>
              <w:t xml:space="preserve"> del TUF e dell’art. 84-</w:t>
            </w:r>
            <w:r w:rsidRPr="00713259">
              <w:rPr>
                <w:bCs/>
                <w:i/>
                <w:sz w:val="22"/>
                <w:szCs w:val="22"/>
              </w:rPr>
              <w:t>quater</w:t>
            </w:r>
            <w:r w:rsidRPr="0071325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13259">
              <w:rPr>
                <w:bCs/>
                <w:sz w:val="22"/>
                <w:szCs w:val="22"/>
              </w:rPr>
              <w:t xml:space="preserve">del Regolamento Emittenti nonché in </w:t>
            </w:r>
            <w:r w:rsidR="00E643B6">
              <w:rPr>
                <w:bCs/>
                <w:sz w:val="22"/>
                <w:szCs w:val="22"/>
              </w:rPr>
              <w:t>aderenza alle indicazioni recate</w:t>
            </w:r>
            <w:r w:rsidRPr="00713259">
              <w:rPr>
                <w:bCs/>
                <w:sz w:val="22"/>
                <w:szCs w:val="22"/>
              </w:rPr>
              <w:t xml:space="preserve"> all’art. </w:t>
            </w:r>
            <w:r w:rsidR="00E340FF">
              <w:rPr>
                <w:bCs/>
                <w:sz w:val="22"/>
                <w:szCs w:val="22"/>
              </w:rPr>
              <w:t>6</w:t>
            </w:r>
            <w:r w:rsidRPr="00713259">
              <w:rPr>
                <w:bCs/>
                <w:sz w:val="22"/>
                <w:szCs w:val="22"/>
              </w:rPr>
              <w:t xml:space="preserve"> del Codice.</w:t>
            </w:r>
          </w:p>
        </w:tc>
      </w:tr>
      <w:tr w:rsidR="00B72197" w:rsidRPr="00713259" w:rsidTr="001B410F">
        <w:tc>
          <w:tcPr>
            <w:tcW w:w="1600" w:type="pct"/>
            <w:vAlign w:val="center"/>
          </w:tcPr>
          <w:p w:rsidR="00B72197" w:rsidRPr="00713259" w:rsidRDefault="00B72197" w:rsidP="001B410F">
            <w:pPr>
              <w:spacing w:before="120" w:after="120"/>
              <w:ind w:right="458"/>
              <w:rPr>
                <w:bCs/>
                <w:sz w:val="22"/>
                <w:szCs w:val="22"/>
              </w:rPr>
            </w:pPr>
            <w:r w:rsidRPr="00713259">
              <w:rPr>
                <w:b/>
                <w:bCs/>
                <w:sz w:val="22"/>
                <w:szCs w:val="22"/>
              </w:rPr>
              <w:t>TUF</w:t>
            </w:r>
          </w:p>
        </w:tc>
        <w:tc>
          <w:tcPr>
            <w:tcW w:w="3400" w:type="pct"/>
            <w:vAlign w:val="center"/>
          </w:tcPr>
          <w:p w:rsidR="00B72197" w:rsidRPr="00713259" w:rsidRDefault="00B72197" w:rsidP="001B410F">
            <w:pPr>
              <w:tabs>
                <w:tab w:val="left" w:pos="6058"/>
              </w:tabs>
              <w:spacing w:before="120" w:after="120"/>
              <w:ind w:right="224"/>
              <w:jc w:val="both"/>
              <w:rPr>
                <w:bCs/>
                <w:sz w:val="22"/>
                <w:szCs w:val="22"/>
              </w:rPr>
            </w:pPr>
            <w:r w:rsidRPr="00713259">
              <w:rPr>
                <w:bCs/>
                <w:sz w:val="22"/>
                <w:szCs w:val="22"/>
              </w:rPr>
              <w:t xml:space="preserve">Il Decreto Legislativo </w:t>
            </w:r>
            <w:smartTag w:uri="urn:schemas-microsoft-com:office:smarttags" w:element="date">
              <w:smartTagPr>
                <w:attr w:name="Year" w:val="1998"/>
                <w:attr w:name="Day" w:val="24"/>
                <w:attr w:name="Month" w:val="2"/>
                <w:attr w:name="ls" w:val="trans"/>
              </w:smartTagPr>
              <w:r w:rsidRPr="00713259">
                <w:rPr>
                  <w:bCs/>
                  <w:sz w:val="22"/>
                  <w:szCs w:val="22"/>
                </w:rPr>
                <w:t>24 febbraio 1998</w:t>
              </w:r>
            </w:smartTag>
            <w:r w:rsidRPr="00713259">
              <w:rPr>
                <w:bCs/>
                <w:sz w:val="22"/>
                <w:szCs w:val="22"/>
              </w:rPr>
              <w:t>, n. 58 come successivamente modificato e integrato</w:t>
            </w:r>
            <w:r w:rsidR="00C81950">
              <w:rPr>
                <w:bCs/>
                <w:sz w:val="22"/>
                <w:szCs w:val="22"/>
              </w:rPr>
              <w:t>.</w:t>
            </w:r>
          </w:p>
        </w:tc>
      </w:tr>
    </w:tbl>
    <w:p w:rsidR="00B72197" w:rsidRPr="00713259" w:rsidRDefault="00B72197" w:rsidP="00B7219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72197" w:rsidRDefault="00B72197" w:rsidP="003817C0">
      <w:pPr>
        <w:spacing w:line="360" w:lineRule="auto"/>
        <w:jc w:val="both"/>
        <w:rPr>
          <w:u w:val="single"/>
        </w:rPr>
        <w:sectPr w:rsidR="00B72197" w:rsidSect="00AA1858">
          <w:footerReference w:type="first" r:id="rId11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72197" w:rsidRPr="00C97CA5" w:rsidRDefault="00B72197" w:rsidP="00DF5E09">
      <w:pPr>
        <w:spacing w:before="120" w:after="120"/>
        <w:jc w:val="both"/>
        <w:rPr>
          <w:sz w:val="22"/>
          <w:szCs w:val="22"/>
          <w:u w:val="single"/>
        </w:rPr>
      </w:pPr>
      <w:r w:rsidRPr="00580AB2">
        <w:rPr>
          <w:sz w:val="22"/>
          <w:szCs w:val="22"/>
          <w:u w:val="single"/>
        </w:rPr>
        <w:t>INDICE</w:t>
      </w:r>
      <w:r w:rsidR="00F35605" w:rsidRPr="00580AB2">
        <w:rPr>
          <w:sz w:val="22"/>
          <w:szCs w:val="22"/>
          <w:u w:val="single"/>
        </w:rPr>
        <w:t xml:space="preserve">  </w:t>
      </w:r>
    </w:p>
    <w:p w:rsidR="00B72197" w:rsidRPr="00C97CA5" w:rsidRDefault="00B72197" w:rsidP="00DF5E09">
      <w:pPr>
        <w:spacing w:before="120"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8"/>
        <w:gridCol w:w="8280"/>
        <w:gridCol w:w="850"/>
      </w:tblGrid>
      <w:tr w:rsidR="00F1331C" w:rsidRPr="00601E2B" w:rsidTr="00601E2B">
        <w:tc>
          <w:tcPr>
            <w:tcW w:w="8928" w:type="dxa"/>
            <w:gridSpan w:val="2"/>
            <w:shd w:val="clear" w:color="auto" w:fill="auto"/>
          </w:tcPr>
          <w:p w:rsidR="00F1331C" w:rsidRPr="00601E2B" w:rsidRDefault="00F1331C" w:rsidP="00601E2B">
            <w:pPr>
              <w:spacing w:before="40" w:afterLines="40" w:after="96"/>
              <w:jc w:val="both"/>
              <w:rPr>
                <w:b/>
                <w:sz w:val="22"/>
                <w:szCs w:val="22"/>
              </w:rPr>
            </w:pPr>
            <w:r w:rsidRPr="00601E2B">
              <w:rPr>
                <w:b/>
                <w:sz w:val="22"/>
                <w:szCs w:val="22"/>
              </w:rPr>
              <w:t>Premessa</w:t>
            </w:r>
          </w:p>
        </w:tc>
        <w:tc>
          <w:tcPr>
            <w:tcW w:w="850" w:type="dxa"/>
            <w:shd w:val="clear" w:color="auto" w:fill="auto"/>
          </w:tcPr>
          <w:p w:rsidR="00F1331C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4</w:t>
            </w:r>
          </w:p>
        </w:tc>
      </w:tr>
      <w:tr w:rsidR="00F1331C" w:rsidRPr="00601E2B" w:rsidTr="00601E2B">
        <w:tc>
          <w:tcPr>
            <w:tcW w:w="8928" w:type="dxa"/>
            <w:gridSpan w:val="2"/>
            <w:shd w:val="clear" w:color="auto" w:fill="auto"/>
          </w:tcPr>
          <w:p w:rsidR="00F1331C" w:rsidRPr="00601E2B" w:rsidRDefault="00F1331C" w:rsidP="00601E2B">
            <w:pPr>
              <w:spacing w:before="40" w:afterLines="40" w:after="96"/>
              <w:jc w:val="both"/>
              <w:rPr>
                <w:b/>
                <w:sz w:val="22"/>
                <w:szCs w:val="22"/>
              </w:rPr>
            </w:pPr>
            <w:r w:rsidRPr="00601E2B">
              <w:rPr>
                <w:b/>
                <w:sz w:val="22"/>
                <w:szCs w:val="22"/>
              </w:rPr>
              <w:t>SEZIONE I: POLITICA DI REMUNERAZIONE</w:t>
            </w:r>
            <w:r w:rsidRPr="00601E2B">
              <w:rPr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F1331C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4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Procedure utilizzate per l’adozione e l’attuazione della Politica di Remunerazione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4</w:t>
            </w:r>
          </w:p>
        </w:tc>
      </w:tr>
      <w:tr w:rsidR="00B313F7" w:rsidRPr="00601E2B" w:rsidTr="00601E2B">
        <w:tc>
          <w:tcPr>
            <w:tcW w:w="648" w:type="dxa"/>
            <w:shd w:val="clear" w:color="auto" w:fill="auto"/>
          </w:tcPr>
          <w:p w:rsidR="00B313F7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B313F7" w:rsidRPr="00601E2B" w:rsidRDefault="00E169EA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Comitato della Remunerazione e il suo ruolo</w:t>
            </w:r>
          </w:p>
        </w:tc>
        <w:tc>
          <w:tcPr>
            <w:tcW w:w="850" w:type="dxa"/>
            <w:shd w:val="clear" w:color="auto" w:fill="auto"/>
          </w:tcPr>
          <w:p w:rsidR="00B313F7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4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Finalità e principi della Politica di Remunerazione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6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Componenti della remunerazione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6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4.1</w:t>
            </w:r>
            <w:r w:rsidRPr="00601E2B">
              <w:rPr>
                <w:sz w:val="22"/>
                <w:szCs w:val="22"/>
              </w:rPr>
              <w:tab/>
              <w:t>La remunerazione degli amministratori investiti di particolari cariche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6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4.2</w:t>
            </w:r>
            <w:r w:rsidRPr="00601E2B">
              <w:rPr>
                <w:sz w:val="22"/>
                <w:szCs w:val="22"/>
              </w:rPr>
              <w:tab/>
              <w:t>La remunerazione degli amministratori non esecutivi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8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AC2E2B" w:rsidRPr="00601E2B" w:rsidRDefault="00AC2E2B" w:rsidP="001A1C0F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A1C0F">
              <w:rPr>
                <w:sz w:val="22"/>
                <w:szCs w:val="22"/>
              </w:rPr>
              <w:t xml:space="preserve">3       </w:t>
            </w:r>
            <w:r>
              <w:rPr>
                <w:sz w:val="22"/>
                <w:szCs w:val="22"/>
              </w:rPr>
              <w:t>I compensi del Collegio Sindacale</w:t>
            </w:r>
          </w:p>
        </w:tc>
        <w:tc>
          <w:tcPr>
            <w:tcW w:w="850" w:type="dxa"/>
            <w:shd w:val="clear" w:color="auto" w:fill="auto"/>
          </w:tcPr>
          <w:p w:rsidR="0096498F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4929C2">
              <w:rPr>
                <w:sz w:val="22"/>
                <w:szCs w:val="22"/>
              </w:rPr>
              <w:t xml:space="preserve"> 8</w:t>
            </w:r>
          </w:p>
          <w:p w:rsidR="00AC2E2B" w:rsidRPr="00601E2B" w:rsidRDefault="00AC2E2B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Politica seguita con riguardo ai benefici non monetari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8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 xml:space="preserve">Termini di maturazione dei diritti (cd. </w:t>
            </w:r>
            <w:r w:rsidRPr="00AC2E2B">
              <w:rPr>
                <w:i/>
                <w:sz w:val="22"/>
                <w:szCs w:val="22"/>
              </w:rPr>
              <w:t>vesting period</w:t>
            </w:r>
            <w:r w:rsidRPr="00601E2B">
              <w:rPr>
                <w:sz w:val="22"/>
                <w:szCs w:val="22"/>
              </w:rPr>
              <w:t>), eventuali sistemi di pagamento differito, con indicazione dei periodi di differimento e dei criteri utilizzati per la determinazione di tali periodi e, se previsti, i meccanismi di correzione ex post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8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Informazioni sulla eventuale previsione di clausole per il mantenimento in portafoglio degli strumenti finanziari dopo la loro acquisizione, con indicazione dei periodi di mantenimento e dei criteri utilizzati per la determinazione di tali periodi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8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8.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Politica relativa ai trattamenti previsti in caso di cessazione dalla carica o di risoluzione del rapporto di lavoro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D519E3">
              <w:rPr>
                <w:sz w:val="22"/>
                <w:szCs w:val="22"/>
              </w:rPr>
              <w:t>9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9.</w:t>
            </w: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Informazioni sulla presenza di coperture assicurative, ovvero previdenziali o pensionistiche, diverse da quelle obbligatorie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9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</w:tr>
      <w:tr w:rsidR="00F1331C" w:rsidRPr="00601E2B" w:rsidTr="00601E2B">
        <w:tc>
          <w:tcPr>
            <w:tcW w:w="8928" w:type="dxa"/>
            <w:gridSpan w:val="2"/>
            <w:shd w:val="clear" w:color="auto" w:fill="auto"/>
          </w:tcPr>
          <w:p w:rsidR="00F1331C" w:rsidRPr="00601E2B" w:rsidRDefault="00F1331C" w:rsidP="00621218">
            <w:pPr>
              <w:spacing w:before="40" w:afterLines="40" w:after="96"/>
              <w:jc w:val="both"/>
              <w:rPr>
                <w:b/>
                <w:sz w:val="22"/>
                <w:szCs w:val="22"/>
              </w:rPr>
            </w:pPr>
            <w:r w:rsidRPr="00601E2B">
              <w:rPr>
                <w:b/>
                <w:sz w:val="22"/>
                <w:szCs w:val="22"/>
              </w:rPr>
              <w:t>SEZIONE II – COMPENSI PERCEPITI NELL’ESERCIZIO 201</w:t>
            </w:r>
            <w:r w:rsidR="003457DA">
              <w:rPr>
                <w:b/>
                <w:sz w:val="22"/>
                <w:szCs w:val="22"/>
              </w:rPr>
              <w:t>4</w:t>
            </w:r>
            <w:r w:rsidRPr="00601E2B">
              <w:rPr>
                <w:b/>
                <w:sz w:val="22"/>
                <w:szCs w:val="22"/>
              </w:rPr>
              <w:t xml:space="preserve"> DAI COMPONENTI </w:t>
            </w:r>
            <w:r w:rsidRPr="00621218">
              <w:rPr>
                <w:b/>
                <w:sz w:val="22"/>
                <w:szCs w:val="22"/>
              </w:rPr>
              <w:t>DEL CONSIGLIO DI AMMINISTRAZIONE E DEL COLLEGIO SINDACALE</w:t>
            </w:r>
            <w:r w:rsidRPr="00601E2B">
              <w:rPr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F1331C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10</w:t>
            </w:r>
          </w:p>
        </w:tc>
      </w:tr>
      <w:tr w:rsidR="00F1331C" w:rsidRPr="00601E2B" w:rsidTr="00601E2B">
        <w:tc>
          <w:tcPr>
            <w:tcW w:w="648" w:type="dxa"/>
            <w:shd w:val="clear" w:color="auto" w:fill="auto"/>
          </w:tcPr>
          <w:p w:rsidR="00F1331C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F1331C" w:rsidRPr="00601E2B" w:rsidRDefault="00F1331C" w:rsidP="00601E2B">
            <w:pPr>
              <w:spacing w:before="40" w:afterLines="40" w:after="96"/>
              <w:jc w:val="both"/>
              <w:rPr>
                <w:i/>
                <w:sz w:val="22"/>
                <w:szCs w:val="22"/>
              </w:rPr>
            </w:pPr>
            <w:r w:rsidRPr="00601E2B">
              <w:rPr>
                <w:i/>
                <w:sz w:val="22"/>
                <w:szCs w:val="22"/>
              </w:rPr>
              <w:t>PRIMA PARTE - VOCI CHE COMPONGONO LA REMUNERAZIONE</w:t>
            </w:r>
          </w:p>
        </w:tc>
        <w:tc>
          <w:tcPr>
            <w:tcW w:w="850" w:type="dxa"/>
            <w:shd w:val="clear" w:color="auto" w:fill="auto"/>
          </w:tcPr>
          <w:p w:rsidR="00F1331C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10</w:t>
            </w:r>
          </w:p>
        </w:tc>
      </w:tr>
      <w:tr w:rsidR="0096498F" w:rsidRPr="00601E2B" w:rsidTr="00601E2B">
        <w:tc>
          <w:tcPr>
            <w:tcW w:w="648" w:type="dxa"/>
            <w:shd w:val="clear" w:color="auto" w:fill="auto"/>
          </w:tcPr>
          <w:p w:rsidR="0096498F" w:rsidRPr="00601E2B" w:rsidRDefault="0096498F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96498F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1.1</w:t>
            </w:r>
            <w:r w:rsidRPr="00601E2B">
              <w:rPr>
                <w:sz w:val="22"/>
                <w:szCs w:val="22"/>
              </w:rPr>
              <w:tab/>
              <w:t>Consiglio di Amministrazione</w:t>
            </w:r>
          </w:p>
        </w:tc>
        <w:tc>
          <w:tcPr>
            <w:tcW w:w="850" w:type="dxa"/>
            <w:shd w:val="clear" w:color="auto" w:fill="auto"/>
          </w:tcPr>
          <w:p w:rsidR="0096498F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10</w:t>
            </w:r>
          </w:p>
        </w:tc>
      </w:tr>
      <w:tr w:rsidR="00B313F7" w:rsidRPr="00601E2B" w:rsidTr="00601E2B">
        <w:tc>
          <w:tcPr>
            <w:tcW w:w="648" w:type="dxa"/>
            <w:shd w:val="clear" w:color="auto" w:fill="auto"/>
          </w:tcPr>
          <w:p w:rsidR="00B313F7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B313F7" w:rsidRPr="00601E2B" w:rsidRDefault="00B313F7" w:rsidP="001D595E">
            <w:pPr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1.</w:t>
            </w:r>
            <w:r w:rsidR="001D595E">
              <w:rPr>
                <w:sz w:val="22"/>
                <w:szCs w:val="22"/>
              </w:rPr>
              <w:t>2</w:t>
            </w:r>
            <w:r w:rsidRPr="00601E2B">
              <w:rPr>
                <w:sz w:val="22"/>
                <w:szCs w:val="22"/>
              </w:rPr>
              <w:tab/>
            </w:r>
            <w:r w:rsidR="002435FB">
              <w:rPr>
                <w:sz w:val="22"/>
                <w:szCs w:val="22"/>
              </w:rPr>
              <w:t>Collegio Sindacale</w:t>
            </w:r>
          </w:p>
        </w:tc>
        <w:tc>
          <w:tcPr>
            <w:tcW w:w="850" w:type="dxa"/>
            <w:shd w:val="clear" w:color="auto" w:fill="auto"/>
          </w:tcPr>
          <w:p w:rsidR="00B313F7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1</w:t>
            </w:r>
            <w:r w:rsidR="0008289E">
              <w:rPr>
                <w:sz w:val="22"/>
                <w:szCs w:val="22"/>
              </w:rPr>
              <w:t>1</w:t>
            </w:r>
          </w:p>
        </w:tc>
      </w:tr>
      <w:tr w:rsidR="00B313F7" w:rsidRPr="00601E2B" w:rsidTr="00601E2B">
        <w:tc>
          <w:tcPr>
            <w:tcW w:w="648" w:type="dxa"/>
            <w:shd w:val="clear" w:color="auto" w:fill="auto"/>
          </w:tcPr>
          <w:p w:rsidR="00B313F7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B313F7" w:rsidRPr="00601E2B" w:rsidRDefault="00B313F7" w:rsidP="001D595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1.</w:t>
            </w:r>
            <w:r w:rsidR="001D595E">
              <w:rPr>
                <w:sz w:val="22"/>
                <w:szCs w:val="22"/>
              </w:rPr>
              <w:t>3</w:t>
            </w:r>
            <w:r w:rsidRPr="00601E2B">
              <w:rPr>
                <w:sz w:val="22"/>
                <w:szCs w:val="22"/>
              </w:rPr>
              <w:tab/>
              <w:t>Accordi che prevedono indennità in caso di scioglimento anticipato del rapporto</w:t>
            </w:r>
          </w:p>
        </w:tc>
        <w:tc>
          <w:tcPr>
            <w:tcW w:w="850" w:type="dxa"/>
            <w:shd w:val="clear" w:color="auto" w:fill="auto"/>
          </w:tcPr>
          <w:p w:rsidR="00B313F7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</w:t>
            </w:r>
            <w:r w:rsidR="004929C2">
              <w:rPr>
                <w:sz w:val="22"/>
                <w:szCs w:val="22"/>
              </w:rPr>
              <w:t>11</w:t>
            </w:r>
          </w:p>
        </w:tc>
      </w:tr>
      <w:tr w:rsidR="00B313F7" w:rsidRPr="00601E2B" w:rsidTr="00601E2B">
        <w:tc>
          <w:tcPr>
            <w:tcW w:w="648" w:type="dxa"/>
            <w:shd w:val="clear" w:color="auto" w:fill="auto"/>
          </w:tcPr>
          <w:p w:rsidR="00B313F7" w:rsidRPr="00601E2B" w:rsidRDefault="00B313F7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B313F7" w:rsidRPr="00601E2B" w:rsidRDefault="00B313F7" w:rsidP="00601E2B">
            <w:pPr>
              <w:spacing w:before="40" w:afterLines="40" w:after="96"/>
              <w:jc w:val="both"/>
              <w:rPr>
                <w:i/>
                <w:sz w:val="22"/>
                <w:szCs w:val="22"/>
              </w:rPr>
            </w:pPr>
            <w:r w:rsidRPr="00601E2B">
              <w:rPr>
                <w:i/>
                <w:sz w:val="22"/>
                <w:szCs w:val="22"/>
              </w:rPr>
              <w:t>SECONDA PARTE - TABELLE</w:t>
            </w:r>
            <w:r w:rsidRPr="00601E2B">
              <w:rPr>
                <w:i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B313F7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C97CA5" w:rsidRPr="00601E2B">
              <w:rPr>
                <w:sz w:val="22"/>
                <w:szCs w:val="22"/>
              </w:rPr>
              <w:t xml:space="preserve"> 1</w:t>
            </w:r>
            <w:r w:rsidR="004929C2">
              <w:rPr>
                <w:sz w:val="22"/>
                <w:szCs w:val="22"/>
              </w:rPr>
              <w:t>2</w:t>
            </w:r>
          </w:p>
          <w:p w:rsidR="00F75414" w:rsidRPr="00601E2B" w:rsidRDefault="00F75414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</w:tc>
      </w:tr>
      <w:tr w:rsidR="00F1331C" w:rsidRPr="00601E2B" w:rsidTr="00601E2B">
        <w:tc>
          <w:tcPr>
            <w:tcW w:w="8928" w:type="dxa"/>
            <w:gridSpan w:val="2"/>
            <w:shd w:val="clear" w:color="auto" w:fill="auto"/>
          </w:tcPr>
          <w:p w:rsidR="00F1331C" w:rsidRPr="00601E2B" w:rsidRDefault="00F1331C" w:rsidP="00621218">
            <w:pPr>
              <w:spacing w:before="40" w:afterLines="40" w:after="96"/>
              <w:jc w:val="both"/>
              <w:rPr>
                <w:b/>
                <w:sz w:val="22"/>
                <w:szCs w:val="22"/>
              </w:rPr>
            </w:pPr>
            <w:r w:rsidRPr="00601E2B">
              <w:rPr>
                <w:b/>
                <w:sz w:val="22"/>
                <w:szCs w:val="22"/>
              </w:rPr>
              <w:t xml:space="preserve">SEZIONE III: INFORMAZIONI SULLE PARTECIPAZIONI DEI COMPONENTI DEL </w:t>
            </w:r>
            <w:r w:rsidRPr="00621218">
              <w:rPr>
                <w:b/>
                <w:sz w:val="22"/>
                <w:szCs w:val="22"/>
              </w:rPr>
              <w:t xml:space="preserve">CONSIGLIO DI AMMINISTRAZIONE E DEL COLLEGIO SINDACALE </w:t>
            </w:r>
          </w:p>
        </w:tc>
        <w:tc>
          <w:tcPr>
            <w:tcW w:w="850" w:type="dxa"/>
            <w:shd w:val="clear" w:color="auto" w:fill="auto"/>
          </w:tcPr>
          <w:p w:rsidR="00F75414" w:rsidRDefault="00F75414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</w:p>
          <w:p w:rsidR="00F1331C" w:rsidRPr="00601E2B" w:rsidRDefault="00F1331C" w:rsidP="00601E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sz w:val="22"/>
                <w:szCs w:val="22"/>
              </w:rPr>
            </w:pPr>
            <w:r w:rsidRPr="00601E2B">
              <w:rPr>
                <w:sz w:val="22"/>
                <w:szCs w:val="22"/>
              </w:rPr>
              <w:t>p.</w:t>
            </w:r>
            <w:r w:rsidR="0087796F" w:rsidRPr="00601E2B">
              <w:rPr>
                <w:sz w:val="22"/>
                <w:szCs w:val="22"/>
              </w:rPr>
              <w:t xml:space="preserve"> 1</w:t>
            </w:r>
            <w:r w:rsidR="004929C2">
              <w:rPr>
                <w:sz w:val="22"/>
                <w:szCs w:val="22"/>
              </w:rPr>
              <w:t>7</w:t>
            </w:r>
          </w:p>
        </w:tc>
      </w:tr>
    </w:tbl>
    <w:p w:rsidR="00503D14" w:rsidRPr="005B652B" w:rsidRDefault="00B72197" w:rsidP="00503D14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br w:type="page"/>
      </w:r>
      <w:bookmarkStart w:id="2" w:name="_Toc320606107"/>
      <w:r w:rsidR="00503D14" w:rsidRPr="005B652B">
        <w:rPr>
          <w:b/>
        </w:rPr>
        <w:t>Premessa</w:t>
      </w:r>
    </w:p>
    <w:p w:rsidR="00503D14" w:rsidRPr="005B652B" w:rsidRDefault="00503D14" w:rsidP="00D8549B">
      <w:pPr>
        <w:autoSpaceDE w:val="0"/>
        <w:autoSpaceDN w:val="0"/>
        <w:adjustRightInd w:val="0"/>
        <w:spacing w:before="120" w:after="120"/>
        <w:ind w:firstLine="709"/>
        <w:jc w:val="both"/>
      </w:pPr>
      <w:r w:rsidRPr="005B652B">
        <w:t>La presente Relazione è stata predisposta ed approvata dal Consiglio di Amministrazione</w:t>
      </w:r>
      <w:r w:rsidR="00DC1F4F">
        <w:t xml:space="preserve"> di Bolzoni</w:t>
      </w:r>
      <w:r w:rsidRPr="005B652B">
        <w:t xml:space="preserve">, in data </w:t>
      </w:r>
      <w:r w:rsidR="00871DCC" w:rsidRPr="005B652B">
        <w:t>1</w:t>
      </w:r>
      <w:r w:rsidR="005657F8">
        <w:t>2</w:t>
      </w:r>
      <w:r w:rsidRPr="005B652B">
        <w:t xml:space="preserve"> marzo 201</w:t>
      </w:r>
      <w:r w:rsidR="005657F8">
        <w:t>5</w:t>
      </w:r>
      <w:r w:rsidRPr="005B652B">
        <w:t xml:space="preserve">, ai sensi dell’articolo 123 – </w:t>
      </w:r>
      <w:r w:rsidRPr="005B652B">
        <w:rPr>
          <w:i/>
        </w:rPr>
        <w:t>ter</w:t>
      </w:r>
      <w:r w:rsidRPr="005B652B">
        <w:t xml:space="preserve"> del D. Lgs </w:t>
      </w:r>
      <w:smartTag w:uri="urn:schemas-microsoft-com:office:smarttags" w:element="date">
        <w:smartTagPr>
          <w:attr w:name="Year" w:val="1998"/>
          <w:attr w:name="Day" w:val="24"/>
          <w:attr w:name="Month" w:val="2"/>
          <w:attr w:name="ls" w:val="trans"/>
        </w:smartTagPr>
        <w:r w:rsidRPr="005B652B">
          <w:t>24 febbraio 1998</w:t>
        </w:r>
      </w:smartTag>
      <w:r w:rsidRPr="005B652B">
        <w:t xml:space="preserve"> n. 58 (“</w:t>
      </w:r>
      <w:r w:rsidRPr="005B652B">
        <w:rPr>
          <w:b/>
        </w:rPr>
        <w:t>TUF</w:t>
      </w:r>
      <w:r w:rsidRPr="005B652B">
        <w:t xml:space="preserve">”) e dell’art. </w:t>
      </w:r>
      <w:r w:rsidR="00DE2549">
        <w:t>84-</w:t>
      </w:r>
      <w:r w:rsidR="00DE2549" w:rsidRPr="00007598">
        <w:rPr>
          <w:i/>
        </w:rPr>
        <w:t>quater</w:t>
      </w:r>
      <w:r w:rsidR="00DE2549">
        <w:t xml:space="preserve"> del Regolamento Emittenti,</w:t>
      </w:r>
      <w:r w:rsidRPr="005B652B">
        <w:t xml:space="preserve"> </w:t>
      </w:r>
      <w:r w:rsidR="001411E8" w:rsidRPr="005B652B">
        <w:t>per illustrare agli Azionisti la</w:t>
      </w:r>
      <w:r w:rsidRPr="005B652B">
        <w:t xml:space="preserve"> politica di remunerazione dei </w:t>
      </w:r>
      <w:r w:rsidR="00DE2549">
        <w:t>C</w:t>
      </w:r>
      <w:r w:rsidR="00DE2549" w:rsidRPr="005B652B">
        <w:t xml:space="preserve">omponenti </w:t>
      </w:r>
      <w:r w:rsidRPr="005B652B">
        <w:t xml:space="preserve">degli </w:t>
      </w:r>
      <w:r w:rsidR="00DE2549">
        <w:t>O</w:t>
      </w:r>
      <w:r w:rsidR="00DE2549" w:rsidRPr="005B652B">
        <w:t xml:space="preserve">rgani </w:t>
      </w:r>
      <w:r w:rsidRPr="005B652B">
        <w:t>di amministrazione</w:t>
      </w:r>
      <w:r w:rsidR="0021140F" w:rsidRPr="005B652B">
        <w:t xml:space="preserve"> e di controllo e dei </w:t>
      </w:r>
      <w:r w:rsidR="00DE2549">
        <w:t>D</w:t>
      </w:r>
      <w:r w:rsidR="00DE2549" w:rsidRPr="005B652B">
        <w:t xml:space="preserve">irigenti </w:t>
      </w:r>
      <w:r w:rsidR="0021140F" w:rsidRPr="005B652B">
        <w:t xml:space="preserve">con responsabilità strategiche </w:t>
      </w:r>
      <w:r w:rsidRPr="005B652B">
        <w:t>(la “Politica di Remunerazione”).</w:t>
      </w:r>
    </w:p>
    <w:p w:rsidR="00DD5726" w:rsidRPr="005B652B" w:rsidRDefault="00B82F0C" w:rsidP="00D8549B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Presso Bolzoni, </w:t>
      </w:r>
      <w:r w:rsidR="00CE62BF" w:rsidRPr="005B652B">
        <w:t xml:space="preserve">la qualità di “Dirigenti con responsabilità strategiche” </w:t>
      </w:r>
      <w:r>
        <w:t xml:space="preserve">compete </w:t>
      </w:r>
      <w:r w:rsidR="00CE62BF" w:rsidRPr="005B652B">
        <w:t xml:space="preserve">ai soli componenti </w:t>
      </w:r>
      <w:r w:rsidR="00DD5726" w:rsidRPr="005B652B">
        <w:t>de</w:t>
      </w:r>
      <w:r w:rsidR="00CE62BF" w:rsidRPr="005B652B">
        <w:t>l Consiglio di amministrazione.</w:t>
      </w:r>
      <w:r w:rsidR="00DD5726" w:rsidRPr="005B652B">
        <w:t xml:space="preserve"> Pur s</w:t>
      </w:r>
      <w:r w:rsidR="00CE62BF" w:rsidRPr="005B652B">
        <w:t xml:space="preserve">ottolineando il ruolo fondamentale svolto dagli altri </w:t>
      </w:r>
      <w:r w:rsidR="00DE2549">
        <w:t>D</w:t>
      </w:r>
      <w:r w:rsidR="00DE2549" w:rsidRPr="005B652B">
        <w:t xml:space="preserve">irigenti </w:t>
      </w:r>
      <w:r w:rsidR="00CE62BF" w:rsidRPr="005B652B">
        <w:t xml:space="preserve">del Gruppo, </w:t>
      </w:r>
      <w:r w:rsidR="00DD5726" w:rsidRPr="005B652B">
        <w:t>tradizionalmente definiti come “</w:t>
      </w:r>
      <w:r w:rsidR="00CE62BF" w:rsidRPr="005B652B">
        <w:t xml:space="preserve">Dirigenti </w:t>
      </w:r>
      <w:r w:rsidR="00FC5922" w:rsidRPr="005B652B">
        <w:t>di primo livello”</w:t>
      </w:r>
      <w:r w:rsidR="00DD5726" w:rsidRPr="005B652B">
        <w:t xml:space="preserve">, si </w:t>
      </w:r>
      <w:r>
        <w:t>ritiene</w:t>
      </w:r>
      <w:r w:rsidR="005F5D8F" w:rsidRPr="005B652B">
        <w:t xml:space="preserve"> </w:t>
      </w:r>
      <w:r w:rsidR="00DD5726" w:rsidRPr="005B652B">
        <w:t xml:space="preserve">che </w:t>
      </w:r>
      <w:r w:rsidR="005F5D8F" w:rsidRPr="005B652B">
        <w:t xml:space="preserve">questi ultimi </w:t>
      </w:r>
      <w:r w:rsidR="00DD5726" w:rsidRPr="005B652B">
        <w:t xml:space="preserve">non </w:t>
      </w:r>
      <w:r w:rsidRPr="005B652B">
        <w:t>esercit</w:t>
      </w:r>
      <w:r>
        <w:t>i</w:t>
      </w:r>
      <w:r w:rsidRPr="005B652B">
        <w:t>no</w:t>
      </w:r>
      <w:r w:rsidR="0005064E" w:rsidRPr="005B652B">
        <w:t>, direttamente o indirettamente</w:t>
      </w:r>
      <w:r w:rsidR="00DF169F" w:rsidRPr="005B652B">
        <w:t>,</w:t>
      </w:r>
      <w:r w:rsidR="0005064E" w:rsidRPr="005B652B">
        <w:t xml:space="preserve"> </w:t>
      </w:r>
      <w:r w:rsidR="00DD5726" w:rsidRPr="005B652B">
        <w:t>il potere e la responsabilità della pianificazione, direzione e controllo delle attività soci</w:t>
      </w:r>
      <w:r w:rsidR="005F5D8F" w:rsidRPr="005B652B">
        <w:t>ali e di gruppo</w:t>
      </w:r>
      <w:r w:rsidR="00DD5726" w:rsidRPr="005B652B">
        <w:t xml:space="preserve">, </w:t>
      </w:r>
      <w:r w:rsidR="005F5D8F" w:rsidRPr="005B652B">
        <w:t xml:space="preserve">limitandosi a ruoli esecutivi ed attuativi, seppure di </w:t>
      </w:r>
      <w:r w:rsidR="00CC3B13" w:rsidRPr="005B652B">
        <w:t>vertice</w:t>
      </w:r>
      <w:r w:rsidR="005F5D8F" w:rsidRPr="005B652B">
        <w:t>.</w:t>
      </w:r>
    </w:p>
    <w:p w:rsidR="00DD5726" w:rsidRDefault="00DD5726" w:rsidP="00D8549B">
      <w:pPr>
        <w:autoSpaceDE w:val="0"/>
        <w:autoSpaceDN w:val="0"/>
        <w:adjustRightInd w:val="0"/>
        <w:spacing w:before="120" w:after="120"/>
        <w:ind w:firstLine="709"/>
        <w:jc w:val="both"/>
      </w:pPr>
      <w:r w:rsidRPr="005B652B">
        <w:t>In tal modo, tanto le prescrizioni normative, quanto le raccomandazioni del Codice di autodisciplina previste per i Dirigenti con responsabilità strategich</w:t>
      </w:r>
      <w:r w:rsidR="00CC3B13" w:rsidRPr="005B652B">
        <w:t xml:space="preserve">e non possono </w:t>
      </w:r>
      <w:r w:rsidR="00FF0AD2">
        <w:t>che applicarsi ai Componenti il Consiglio di amministrazione</w:t>
      </w:r>
      <w:r w:rsidR="00CC3B13" w:rsidRPr="005B652B">
        <w:t>.</w:t>
      </w:r>
      <w:r w:rsidR="00BF7FAD">
        <w:t xml:space="preserve"> Nell’Organo amministrativo, composto attualmente da </w:t>
      </w:r>
      <w:r w:rsidR="007B11BF">
        <w:t>dieci membri, due soli si qualificano come “Esecutivi”, per il fatto di esercitare la direzione strategica ed operativa della Società e del Gruppo.</w:t>
      </w:r>
    </w:p>
    <w:p w:rsidR="00904795" w:rsidRDefault="00904795" w:rsidP="005B652B">
      <w:pPr>
        <w:autoSpaceDE w:val="0"/>
        <w:autoSpaceDN w:val="0"/>
        <w:adjustRightInd w:val="0"/>
        <w:spacing w:before="120" w:after="120"/>
        <w:jc w:val="both"/>
      </w:pPr>
    </w:p>
    <w:p w:rsidR="00904795" w:rsidRPr="00904795" w:rsidRDefault="00904795" w:rsidP="005B652B"/>
    <w:p w:rsidR="00503D14" w:rsidRDefault="00503D14" w:rsidP="00B77ABC">
      <w:pPr>
        <w:pStyle w:val="Titolo1"/>
        <w:spacing w:before="120" w:after="120"/>
        <w:jc w:val="both"/>
        <w:rPr>
          <w:rFonts w:ascii="Times New Roman" w:hAnsi="Times New Roman" w:cs="Times New Roman"/>
        </w:rPr>
      </w:pPr>
      <w:r w:rsidRPr="005B652B">
        <w:rPr>
          <w:rFonts w:ascii="Times New Roman" w:hAnsi="Times New Roman" w:cs="Times New Roman"/>
        </w:rPr>
        <w:t>SEZIONE I: POLITICA DI REMUNERAZIONE</w:t>
      </w:r>
      <w:bookmarkEnd w:id="2"/>
    </w:p>
    <w:p w:rsidR="00902CC6" w:rsidRPr="00902CC6" w:rsidRDefault="00902CC6" w:rsidP="00345647"/>
    <w:p w:rsidR="00503D14" w:rsidRPr="005B652B" w:rsidRDefault="00503D14" w:rsidP="00027D9E">
      <w:pPr>
        <w:spacing w:before="120" w:after="120"/>
        <w:jc w:val="both"/>
        <w:rPr>
          <w:b/>
        </w:rPr>
      </w:pPr>
      <w:r w:rsidRPr="005B652B">
        <w:rPr>
          <w:b/>
        </w:rPr>
        <w:t>1.</w:t>
      </w:r>
      <w:r w:rsidRPr="005B652B">
        <w:rPr>
          <w:b/>
        </w:rPr>
        <w:tab/>
        <w:t>Procedure utilizzate per l’adozione e l’attuazione della Politica di Remunerazione</w:t>
      </w:r>
      <w:r w:rsidR="00A20406" w:rsidRPr="005B652B">
        <w:rPr>
          <w:b/>
        </w:rPr>
        <w:t>. Il ruolo dell’</w:t>
      </w:r>
      <w:r w:rsidR="000E533C">
        <w:rPr>
          <w:b/>
        </w:rPr>
        <w:t>A</w:t>
      </w:r>
      <w:r w:rsidR="00A20406" w:rsidRPr="005B652B">
        <w:rPr>
          <w:b/>
        </w:rPr>
        <w:t xml:space="preserve">ssemblea e quello del </w:t>
      </w:r>
      <w:r w:rsidR="000E533C">
        <w:rPr>
          <w:b/>
        </w:rPr>
        <w:t>C</w:t>
      </w:r>
      <w:r w:rsidR="00A20406" w:rsidRPr="005B652B">
        <w:rPr>
          <w:b/>
        </w:rPr>
        <w:t>onsiglio di amministrazione</w:t>
      </w:r>
    </w:p>
    <w:p w:rsidR="00254550" w:rsidRDefault="00BD03DA" w:rsidP="00D8549B">
      <w:pPr>
        <w:spacing w:before="120" w:after="120"/>
        <w:ind w:firstLine="709"/>
        <w:jc w:val="both"/>
      </w:pPr>
      <w:r w:rsidRPr="005B652B">
        <w:t xml:space="preserve">, </w:t>
      </w:r>
      <w:r w:rsidR="008F1D89">
        <w:t>L</w:t>
      </w:r>
      <w:r w:rsidR="008F1D89" w:rsidRPr="005B652B">
        <w:t>’</w:t>
      </w:r>
      <w:r w:rsidR="008F1D89" w:rsidRPr="00345647">
        <w:rPr>
          <w:b/>
        </w:rPr>
        <w:t>Assemblea</w:t>
      </w:r>
      <w:r w:rsidR="008F1D89" w:rsidRPr="005B652B">
        <w:t xml:space="preserve"> </w:t>
      </w:r>
      <w:r w:rsidRPr="005B652B">
        <w:t>de</w:t>
      </w:r>
      <w:r w:rsidR="00B1387F">
        <w:t>gl</w:t>
      </w:r>
      <w:r w:rsidRPr="005B652B">
        <w:t xml:space="preserve">i </w:t>
      </w:r>
      <w:r w:rsidR="00B1387F">
        <w:t xml:space="preserve">Azionisti, in sede di nomina del nuovo Consiglio, </w:t>
      </w:r>
      <w:r w:rsidR="008F1D89">
        <w:t>in conformità a</w:t>
      </w:r>
      <w:r w:rsidR="008F1D89" w:rsidRPr="005B652B">
        <w:t xml:space="preserve"> quanto previsto dall’articolo 18 dello statuto sociale</w:t>
      </w:r>
      <w:r w:rsidR="008F1D89">
        <w:t>,</w:t>
      </w:r>
      <w:r w:rsidR="008F1D89" w:rsidRPr="005B652B">
        <w:t xml:space="preserve"> </w:t>
      </w:r>
      <w:r w:rsidRPr="005B652B">
        <w:t xml:space="preserve">delibera sul compenso </w:t>
      </w:r>
      <w:r w:rsidR="00B1387F">
        <w:t xml:space="preserve">complessivo </w:t>
      </w:r>
      <w:r w:rsidRPr="005B652B">
        <w:t>annuale</w:t>
      </w:r>
      <w:r w:rsidR="00A20406" w:rsidRPr="005B652B">
        <w:t xml:space="preserve"> destinato agli </w:t>
      </w:r>
      <w:r w:rsidR="00B1387F">
        <w:t>A</w:t>
      </w:r>
      <w:r w:rsidR="00B1387F" w:rsidRPr="005B652B">
        <w:t>mministratori</w:t>
      </w:r>
      <w:r w:rsidR="00B1387F">
        <w:t xml:space="preserve"> </w:t>
      </w:r>
      <w:r w:rsidR="00254550">
        <w:t xml:space="preserve">ed esprime </w:t>
      </w:r>
      <w:r w:rsidR="009C67B0">
        <w:t xml:space="preserve">ogni anno </w:t>
      </w:r>
      <w:r w:rsidR="00254550">
        <w:t>un voto non vincolante sulla politica di remunerazione proposta dal Consiglio</w:t>
      </w:r>
      <w:r w:rsidR="00F408B5" w:rsidRPr="005B652B">
        <w:t>.</w:t>
      </w:r>
      <w:r w:rsidRPr="005B652B">
        <w:t xml:space="preserve"> </w:t>
      </w:r>
    </w:p>
    <w:p w:rsidR="008F1D89" w:rsidRPr="005B652B" w:rsidRDefault="008F1D89" w:rsidP="008F1D89">
      <w:pPr>
        <w:spacing w:before="120" w:after="120"/>
        <w:ind w:firstLine="709"/>
        <w:jc w:val="both"/>
      </w:pPr>
      <w:r w:rsidRPr="005B652B">
        <w:t xml:space="preserve">La </w:t>
      </w:r>
      <w:r>
        <w:t>p</w:t>
      </w:r>
      <w:r w:rsidRPr="005B652B">
        <w:t xml:space="preserve">olitica di </w:t>
      </w:r>
      <w:r>
        <w:t>r</w:t>
      </w:r>
      <w:r w:rsidRPr="005B652B">
        <w:t xml:space="preserve">emunerazione, così come descritta nella presente sezione della Relazione, è </w:t>
      </w:r>
      <w:r>
        <w:t xml:space="preserve">annualmente </w:t>
      </w:r>
      <w:r w:rsidRPr="005B652B">
        <w:t xml:space="preserve">sottoposta alla deliberazione dei </w:t>
      </w:r>
      <w:r>
        <w:t xml:space="preserve">Soci, nel corso dell’Assemblea </w:t>
      </w:r>
      <w:r w:rsidRPr="005B652B">
        <w:t>convocata ai sensi dell’art. 2364 del codice civile.</w:t>
      </w:r>
    </w:p>
    <w:p w:rsidR="00902CC6" w:rsidRPr="005B652B" w:rsidRDefault="00FA7CDF" w:rsidP="00902CC6">
      <w:pPr>
        <w:spacing w:before="120" w:after="120"/>
        <w:ind w:firstLine="709"/>
        <w:jc w:val="both"/>
      </w:pPr>
      <w:r w:rsidRPr="005B652B">
        <w:t xml:space="preserve">Il </w:t>
      </w:r>
      <w:r w:rsidRPr="00345647">
        <w:rPr>
          <w:b/>
        </w:rPr>
        <w:t>Consiglio di Amministrazione</w:t>
      </w:r>
      <w:r w:rsidRPr="005B652B">
        <w:t xml:space="preserve">, sentito il parere del Collegio Sindacale, </w:t>
      </w:r>
      <w:r w:rsidR="007B1D69">
        <w:t xml:space="preserve">nel quadro approvato </w:t>
      </w:r>
      <w:r w:rsidR="00F408B5" w:rsidRPr="005B652B">
        <w:t xml:space="preserve">dall’Assemblea dei </w:t>
      </w:r>
      <w:r w:rsidR="007B1D69">
        <w:t>Soci</w:t>
      </w:r>
      <w:r w:rsidR="00F408B5" w:rsidRPr="005B652B">
        <w:t xml:space="preserve">, </w:t>
      </w:r>
      <w:r w:rsidR="00EA3C24">
        <w:t xml:space="preserve">applica e </w:t>
      </w:r>
      <w:r w:rsidR="00254550">
        <w:t xml:space="preserve">dà attuazione </w:t>
      </w:r>
      <w:r w:rsidR="00AE2FED">
        <w:t xml:space="preserve">sistematica </w:t>
      </w:r>
      <w:r w:rsidR="00254550">
        <w:t>al</w:t>
      </w:r>
      <w:r w:rsidRPr="005B652B">
        <w:t xml:space="preserve">la </w:t>
      </w:r>
      <w:r w:rsidR="008F1D89">
        <w:t>p</w:t>
      </w:r>
      <w:r w:rsidR="008F1D89" w:rsidRPr="005B652B">
        <w:t xml:space="preserve">olitica </w:t>
      </w:r>
      <w:r w:rsidRPr="005B652B">
        <w:t xml:space="preserve">di </w:t>
      </w:r>
      <w:r w:rsidR="008F1D89">
        <w:t>r</w:t>
      </w:r>
      <w:r w:rsidR="008F1D89" w:rsidRPr="005B652B">
        <w:t xml:space="preserve">emunerazione </w:t>
      </w:r>
      <w:r w:rsidRPr="005B652B">
        <w:t xml:space="preserve">. </w:t>
      </w:r>
      <w:r w:rsidR="00902CC6" w:rsidRPr="00902CC6">
        <w:t>L</w:t>
      </w:r>
      <w:r w:rsidR="00902CC6">
        <w:t>e</w:t>
      </w:r>
      <w:r w:rsidR="00902CC6" w:rsidRPr="00902CC6">
        <w:t xml:space="preserve"> decision</w:t>
      </w:r>
      <w:r w:rsidR="00902CC6">
        <w:t>i</w:t>
      </w:r>
      <w:r w:rsidR="00902CC6" w:rsidRPr="00902CC6">
        <w:t xml:space="preserve"> </w:t>
      </w:r>
      <w:r w:rsidR="00902CC6">
        <w:t xml:space="preserve">che concernono </w:t>
      </w:r>
      <w:r w:rsidR="00902CC6" w:rsidRPr="00902CC6">
        <w:t xml:space="preserve">la remunerazione </w:t>
      </w:r>
      <w:r w:rsidR="00902CC6" w:rsidRPr="00345647">
        <w:t>de</w:t>
      </w:r>
      <w:r w:rsidR="00902CC6">
        <w:t xml:space="preserve">gli </w:t>
      </w:r>
      <w:r w:rsidR="00902CC6" w:rsidRPr="00345647">
        <w:t>Amministrator</w:t>
      </w:r>
      <w:r w:rsidR="00902CC6">
        <w:t>i</w:t>
      </w:r>
      <w:r w:rsidR="00902CC6" w:rsidRPr="00345647">
        <w:t xml:space="preserve"> </w:t>
      </w:r>
      <w:r w:rsidR="00902CC6">
        <w:t xml:space="preserve">esecutivi </w:t>
      </w:r>
      <w:r w:rsidR="00902CC6" w:rsidRPr="00345647">
        <w:t>v</w:t>
      </w:r>
      <w:r w:rsidR="00902CC6">
        <w:t xml:space="preserve">engono prese </w:t>
      </w:r>
      <w:r w:rsidR="00902CC6" w:rsidRPr="00345647">
        <w:t xml:space="preserve"> in sede consiliare, in assenza de</w:t>
      </w:r>
      <w:r w:rsidR="00902CC6">
        <w:t xml:space="preserve">gli </w:t>
      </w:r>
      <w:r w:rsidR="00902CC6" w:rsidRPr="00345647">
        <w:t>Interessat</w:t>
      </w:r>
      <w:r w:rsidR="00902CC6">
        <w:t>i</w:t>
      </w:r>
      <w:r w:rsidR="00902CC6" w:rsidRPr="00345647">
        <w:t xml:space="preserve">, </w:t>
      </w:r>
      <w:r w:rsidR="00902CC6">
        <w:t xml:space="preserve">su proposta del </w:t>
      </w:r>
      <w:r w:rsidR="00902CC6" w:rsidRPr="00345647">
        <w:t xml:space="preserve">del </w:t>
      </w:r>
      <w:r w:rsidR="00902CC6" w:rsidRPr="00345647">
        <w:rPr>
          <w:b/>
        </w:rPr>
        <w:t>Comitato per la Remunerazione</w:t>
      </w:r>
      <w:r w:rsidR="00902CC6" w:rsidRPr="00345647">
        <w:t xml:space="preserve"> </w:t>
      </w:r>
      <w:r w:rsidR="00AE2FED" w:rsidRPr="005B652B">
        <w:t>(</w:t>
      </w:r>
      <w:r w:rsidR="00AE2FED" w:rsidRPr="005B652B">
        <w:rPr>
          <w:i/>
        </w:rPr>
        <w:t>cfr.</w:t>
      </w:r>
      <w:r w:rsidR="00AE2FED" w:rsidRPr="005B652B">
        <w:t xml:space="preserve"> </w:t>
      </w:r>
      <w:r w:rsidR="00AE2FED" w:rsidRPr="005B652B">
        <w:rPr>
          <w:i/>
        </w:rPr>
        <w:t>infra</w:t>
      </w:r>
      <w:r w:rsidR="00AE2FED" w:rsidRPr="005B652B">
        <w:t xml:space="preserve"> </w:t>
      </w:r>
      <w:r w:rsidR="00AE2FED" w:rsidRPr="005B652B">
        <w:rPr>
          <w:i/>
        </w:rPr>
        <w:t>sub</w:t>
      </w:r>
      <w:r w:rsidR="00AE2FED" w:rsidRPr="005B652B">
        <w:t xml:space="preserve"> Paragrafo 2)</w:t>
      </w:r>
      <w:r w:rsidR="00AE2FED">
        <w:t xml:space="preserve"> </w:t>
      </w:r>
      <w:r w:rsidR="00902CC6" w:rsidRPr="00345647">
        <w:t xml:space="preserve">e </w:t>
      </w:r>
      <w:r w:rsidR="00A06C10">
        <w:t>sentito il</w:t>
      </w:r>
      <w:r w:rsidR="00902CC6" w:rsidRPr="008755BB">
        <w:t xml:space="preserve"> parere </w:t>
      </w:r>
      <w:r w:rsidR="00902CC6" w:rsidRPr="00345647">
        <w:t xml:space="preserve">del </w:t>
      </w:r>
      <w:r w:rsidR="00902CC6" w:rsidRPr="00345647">
        <w:rPr>
          <w:b/>
        </w:rPr>
        <w:t>Collegio Sindacale</w:t>
      </w:r>
      <w:r w:rsidR="00902CC6" w:rsidRPr="00345647">
        <w:t>.</w:t>
      </w:r>
      <w:r w:rsidR="00902CC6" w:rsidRPr="005B652B">
        <w:t xml:space="preserve"> </w:t>
      </w:r>
    </w:p>
    <w:p w:rsidR="00FA7CDF" w:rsidRPr="005B652B" w:rsidRDefault="00FA7CDF" w:rsidP="00D8549B">
      <w:pPr>
        <w:spacing w:before="120" w:after="120"/>
        <w:ind w:firstLine="709"/>
        <w:jc w:val="both"/>
      </w:pPr>
    </w:p>
    <w:p w:rsidR="007F3589" w:rsidRPr="005B652B" w:rsidRDefault="007F3589" w:rsidP="00B77ABC">
      <w:pPr>
        <w:spacing w:before="120" w:after="120"/>
        <w:jc w:val="both"/>
      </w:pPr>
    </w:p>
    <w:p w:rsidR="00B76192" w:rsidRPr="005B652B" w:rsidRDefault="00503D14" w:rsidP="007844F0">
      <w:pPr>
        <w:spacing w:before="120" w:after="120"/>
        <w:jc w:val="both"/>
        <w:rPr>
          <w:b/>
        </w:rPr>
      </w:pPr>
      <w:r w:rsidRPr="005B652B">
        <w:rPr>
          <w:b/>
        </w:rPr>
        <w:t>2.</w:t>
      </w:r>
      <w:r w:rsidRPr="005B652B">
        <w:rPr>
          <w:b/>
        </w:rPr>
        <w:tab/>
      </w:r>
      <w:r w:rsidR="00EA16A7" w:rsidRPr="005B652B">
        <w:rPr>
          <w:b/>
        </w:rPr>
        <w:t>Il Comitato per la Remunerazione e il suo ruolo</w:t>
      </w:r>
    </w:p>
    <w:p w:rsidR="00C816A3" w:rsidRPr="001E5519" w:rsidRDefault="00C816A3" w:rsidP="00D8549B">
      <w:pPr>
        <w:spacing w:before="120" w:after="120"/>
        <w:ind w:firstLine="709"/>
        <w:jc w:val="both"/>
      </w:pPr>
      <w:r w:rsidRPr="001E5519">
        <w:t xml:space="preserve">Il Comitato per la remunerazione è composto da </w:t>
      </w:r>
      <w:r w:rsidR="00EE6368" w:rsidRPr="001E5519">
        <w:t>due amministratori indipendenti:</w:t>
      </w:r>
      <w:r w:rsidRPr="001E5519">
        <w:t xml:space="preserve"> Raimondo Cinti e Giovanni Salsi</w:t>
      </w:r>
      <w:r w:rsidR="00E84E41">
        <w:t>,</w:t>
      </w:r>
      <w:r w:rsidRPr="001E5519">
        <w:t xml:space="preserve"> e</w:t>
      </w:r>
      <w:r w:rsidR="00EE6368" w:rsidRPr="001E5519">
        <w:t xml:space="preserve"> </w:t>
      </w:r>
      <w:r w:rsidRPr="001E5519">
        <w:t>d</w:t>
      </w:r>
      <w:r w:rsidR="00EE6368" w:rsidRPr="001E5519">
        <w:t>a</w:t>
      </w:r>
      <w:r w:rsidRPr="001E5519">
        <w:t xml:space="preserve"> un </w:t>
      </w:r>
      <w:r w:rsidR="00BE70C5">
        <w:t>amministratore</w:t>
      </w:r>
      <w:r w:rsidR="00BE70C5" w:rsidRPr="001E5519">
        <w:t xml:space="preserve"> </w:t>
      </w:r>
      <w:r w:rsidRPr="001E5519">
        <w:t>non esecutivo: Pierluigi Magnelli. Il primo di essi svolge le funzioni di presidente del Comitato.</w:t>
      </w:r>
    </w:p>
    <w:p w:rsidR="00C816A3" w:rsidRPr="001E5519" w:rsidRDefault="007F6864" w:rsidP="00D8549B">
      <w:pPr>
        <w:spacing w:before="120" w:after="120"/>
        <w:ind w:firstLine="709"/>
        <w:jc w:val="both"/>
      </w:pPr>
      <w:r>
        <w:t>Come da valutazione espressa dal Consiglio di amministrazione</w:t>
      </w:r>
      <w:r w:rsidR="004B4FBF">
        <w:t xml:space="preserve"> e confermata il 12/3/2015</w:t>
      </w:r>
      <w:r>
        <w:t>, d</w:t>
      </w:r>
      <w:r w:rsidR="00AA7315" w:rsidRPr="001E5519">
        <w:t xml:space="preserve">ei tre </w:t>
      </w:r>
      <w:r w:rsidR="0007519F">
        <w:t>C</w:t>
      </w:r>
      <w:r w:rsidR="0007519F" w:rsidRPr="001E5519">
        <w:t xml:space="preserve">omponenti </w:t>
      </w:r>
      <w:r w:rsidR="00AA7315" w:rsidRPr="001E5519">
        <w:t>i</w:t>
      </w:r>
      <w:r w:rsidR="00056692" w:rsidRPr="001E5519">
        <w:t xml:space="preserve">l </w:t>
      </w:r>
      <w:r w:rsidR="0007519F">
        <w:t>C</w:t>
      </w:r>
      <w:r w:rsidR="0007519F" w:rsidRPr="001E5519">
        <w:t>omitato</w:t>
      </w:r>
      <w:r w:rsidR="00AA7315" w:rsidRPr="001E5519">
        <w:t xml:space="preserve">, uno di essi possiede </w:t>
      </w:r>
      <w:r w:rsidR="00C816A3" w:rsidRPr="001E5519">
        <w:t xml:space="preserve">specifiche conoscenze ed esperienze in materia contabile e finanziaria; </w:t>
      </w:r>
      <w:r w:rsidR="00AA7315" w:rsidRPr="001E5519">
        <w:t xml:space="preserve">due </w:t>
      </w:r>
      <w:r w:rsidR="0007519F">
        <w:t>C</w:t>
      </w:r>
      <w:r w:rsidR="0007519F" w:rsidRPr="001E5519">
        <w:t xml:space="preserve">omponenti </w:t>
      </w:r>
      <w:r w:rsidR="00AA7315" w:rsidRPr="001E5519">
        <w:t>hanno competenze ed esperienze significative</w:t>
      </w:r>
      <w:r w:rsidR="00C816A3" w:rsidRPr="001E5519">
        <w:t xml:space="preserve"> in materia di politiche del personale e retributive.</w:t>
      </w:r>
    </w:p>
    <w:p w:rsidR="00D970BB" w:rsidRPr="001E5519" w:rsidRDefault="00C1536D" w:rsidP="00D8549B">
      <w:pPr>
        <w:spacing w:before="120" w:after="120"/>
        <w:ind w:firstLine="709"/>
        <w:jc w:val="both"/>
      </w:pPr>
      <w:r w:rsidRPr="001E5519">
        <w:t xml:space="preserve">Alle riunioni del </w:t>
      </w:r>
      <w:r w:rsidR="0046577E">
        <w:t>C</w:t>
      </w:r>
      <w:r w:rsidR="0046577E" w:rsidRPr="001E5519">
        <w:t>omitato</w:t>
      </w:r>
      <w:r w:rsidRPr="001E5519">
        <w:t xml:space="preserve">, su invito del Presidente, </w:t>
      </w:r>
      <w:r w:rsidR="00AA7315" w:rsidRPr="001E5519">
        <w:t>partecipa il</w:t>
      </w:r>
      <w:r w:rsidRPr="001E5519">
        <w:t xml:space="preserve"> Presidente del Collegio sindacale, ovvero altro </w:t>
      </w:r>
      <w:r w:rsidR="0046577E">
        <w:t>S</w:t>
      </w:r>
      <w:r w:rsidR="0046577E" w:rsidRPr="001E5519">
        <w:t>indaco</w:t>
      </w:r>
      <w:r w:rsidRPr="001E5519">
        <w:t xml:space="preserve">, da questi designato. </w:t>
      </w:r>
      <w:r w:rsidR="00D970BB" w:rsidRPr="001E5519">
        <w:t xml:space="preserve">Quando partecipino altri soggetti che non siano membri, ciò avviene su invito del </w:t>
      </w:r>
      <w:r w:rsidR="0007519F">
        <w:t>P</w:t>
      </w:r>
      <w:r w:rsidR="0007519F" w:rsidRPr="001E5519">
        <w:t xml:space="preserve">residente </w:t>
      </w:r>
      <w:r w:rsidR="00D970BB" w:rsidRPr="001E5519">
        <w:t xml:space="preserve">del </w:t>
      </w:r>
      <w:r w:rsidR="0007519F">
        <w:t>C</w:t>
      </w:r>
      <w:r w:rsidR="0007519F" w:rsidRPr="001E5519">
        <w:t>omitato</w:t>
      </w:r>
      <w:r w:rsidR="000F381A" w:rsidRPr="001E5519">
        <w:t>,</w:t>
      </w:r>
      <w:r w:rsidR="00D970BB" w:rsidRPr="001E5519">
        <w:t xml:space="preserve"> in relazione a specifici punti in discussione.</w:t>
      </w:r>
    </w:p>
    <w:p w:rsidR="00C816A3" w:rsidRPr="001E5519" w:rsidRDefault="00C816A3" w:rsidP="00D8549B">
      <w:pPr>
        <w:spacing w:before="120" w:after="120"/>
        <w:ind w:firstLine="709"/>
        <w:jc w:val="both"/>
      </w:pPr>
      <w:r w:rsidRPr="001E5519">
        <w:t xml:space="preserve">Gli </w:t>
      </w:r>
      <w:r w:rsidR="00E84E41">
        <w:t>A</w:t>
      </w:r>
      <w:r w:rsidR="00E84E41" w:rsidRPr="001E5519">
        <w:t xml:space="preserve">mministratori </w:t>
      </w:r>
      <w:r w:rsidRPr="001E5519">
        <w:t xml:space="preserve">esecutivi si astengono dal partecipare alle riunioni del </w:t>
      </w:r>
      <w:r w:rsidR="00181687">
        <w:t>C</w:t>
      </w:r>
      <w:r w:rsidR="00181687" w:rsidRPr="001E5519">
        <w:t>omitato</w:t>
      </w:r>
      <w:r w:rsidRPr="001E5519">
        <w:t>, quando queste abbiano a</w:t>
      </w:r>
      <w:r w:rsidR="0043220A" w:rsidRPr="001E5519">
        <w:t xml:space="preserve">d oggetto </w:t>
      </w:r>
      <w:r w:rsidRPr="001E5519">
        <w:t>la loro remunerazione.</w:t>
      </w:r>
    </w:p>
    <w:p w:rsidR="00EE6368" w:rsidRPr="001E5519" w:rsidRDefault="00D970BB" w:rsidP="00D8549B">
      <w:pPr>
        <w:spacing w:before="120" w:after="120"/>
        <w:ind w:firstLine="709"/>
        <w:jc w:val="both"/>
      </w:pPr>
      <w:r w:rsidRPr="001E5519">
        <w:t>Tutte le riunioni del Comitato sono verbalizzate.</w:t>
      </w:r>
    </w:p>
    <w:p w:rsidR="00194681" w:rsidRDefault="00194681" w:rsidP="005B652B">
      <w:pPr>
        <w:spacing w:before="120" w:after="120"/>
        <w:jc w:val="center"/>
      </w:pPr>
      <w:r>
        <w:t>* * * * * * *</w:t>
      </w:r>
    </w:p>
    <w:p w:rsidR="00FA7CDF" w:rsidRPr="00027D9E" w:rsidRDefault="00FA7CDF" w:rsidP="00D8549B">
      <w:pPr>
        <w:spacing w:before="120" w:after="120"/>
        <w:ind w:firstLine="709"/>
        <w:jc w:val="both"/>
      </w:pPr>
      <w:r w:rsidRPr="00027D9E">
        <w:t xml:space="preserve">Al Comitato per </w:t>
      </w:r>
      <w:smartTag w:uri="urn:schemas-microsoft-com:office:smarttags" w:element="PersonName">
        <w:smartTagPr>
          <w:attr w:name="ProductID" w:val="la Remunerazione"/>
        </w:smartTagPr>
        <w:r w:rsidRPr="00027D9E">
          <w:t>la Remunerazione</w:t>
        </w:r>
      </w:smartTag>
      <w:r w:rsidRPr="00027D9E">
        <w:t xml:space="preserve"> sono attribuite, ai sensi dell’art. </w:t>
      </w:r>
      <w:smartTag w:uri="urn:schemas-microsoft-com:office:smarttags" w:element="metricconverter">
        <w:smartTagPr>
          <w:attr w:name="ProductID" w:val="6.C"/>
        </w:smartTagPr>
        <w:r w:rsidRPr="00027D9E">
          <w:t>6.C</w:t>
        </w:r>
      </w:smartTag>
      <w:r w:rsidRPr="00027D9E">
        <w:t>.5. del Codice, le seguenti funzioni in connessione con la politica per la remunerazione:</w:t>
      </w:r>
    </w:p>
    <w:p w:rsidR="00FA7CDF" w:rsidRPr="00027D9E" w:rsidRDefault="00FA7CDF" w:rsidP="00027D9E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027D9E">
        <w:t xml:space="preserve">- </w:t>
      </w:r>
      <w:r w:rsidRPr="00027D9E">
        <w:tab/>
        <w:t>valuta</w:t>
      </w:r>
      <w:r w:rsidR="00A60F45">
        <w:t>re</w:t>
      </w:r>
      <w:r w:rsidRPr="00027D9E">
        <w:t xml:space="preserve"> periodicamente l’adeguatezza, la coerenza complessiva e la concreta applicazione della politica per la remunerazione degli </w:t>
      </w:r>
      <w:r w:rsidR="00E84E41">
        <w:t>A</w:t>
      </w:r>
      <w:r w:rsidR="00E84E41" w:rsidRPr="00027D9E">
        <w:t xml:space="preserve">mministratori </w:t>
      </w:r>
      <w:r w:rsidR="00ED23CD">
        <w:t xml:space="preserve">- </w:t>
      </w:r>
      <w:r w:rsidR="00E84E41">
        <w:t>D</w:t>
      </w:r>
      <w:r w:rsidR="00E84E41" w:rsidRPr="00027D9E">
        <w:t xml:space="preserve">irigenti </w:t>
      </w:r>
      <w:r w:rsidRPr="00027D9E">
        <w:t xml:space="preserve">con responsabilità strategiche, avvalendosi a tale ultimo riguardo delle informazioni fornite dagli </w:t>
      </w:r>
      <w:r w:rsidR="00E84E41">
        <w:t>A</w:t>
      </w:r>
      <w:r w:rsidR="00E84E41" w:rsidRPr="00027D9E">
        <w:t xml:space="preserve">mministratori </w:t>
      </w:r>
      <w:r w:rsidRPr="00027D9E">
        <w:t>delegati; formula</w:t>
      </w:r>
      <w:r w:rsidR="00A60F45">
        <w:t>re</w:t>
      </w:r>
      <w:r w:rsidRPr="00027D9E">
        <w:t xml:space="preserve"> al </w:t>
      </w:r>
      <w:r w:rsidR="00A60F45">
        <w:t>C</w:t>
      </w:r>
      <w:r w:rsidRPr="00027D9E">
        <w:t>onsiglio di amministrazione proposte in materia;</w:t>
      </w:r>
    </w:p>
    <w:p w:rsidR="00312A93" w:rsidRDefault="00FA7CDF" w:rsidP="00027D9E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027D9E">
        <w:t xml:space="preserve">- </w:t>
      </w:r>
      <w:r w:rsidRPr="00027D9E">
        <w:tab/>
        <w:t>presenta</w:t>
      </w:r>
      <w:r w:rsidR="00A60F45">
        <w:t>re proposte ed</w:t>
      </w:r>
      <w:r w:rsidRPr="00027D9E">
        <w:t xml:space="preserve"> esprime</w:t>
      </w:r>
      <w:r w:rsidR="00A60F45">
        <w:t>re</w:t>
      </w:r>
      <w:r w:rsidRPr="00027D9E">
        <w:t xml:space="preserve"> pareri al </w:t>
      </w:r>
      <w:r w:rsidR="000E533C">
        <w:t>C</w:t>
      </w:r>
      <w:r w:rsidRPr="00027D9E">
        <w:t xml:space="preserve">onsiglio di amministrazione sulla remunerazione degli </w:t>
      </w:r>
      <w:r w:rsidR="00E84E41">
        <w:t>A</w:t>
      </w:r>
      <w:r w:rsidR="00E84E41" w:rsidRPr="00027D9E">
        <w:t xml:space="preserve">mministratori </w:t>
      </w:r>
      <w:r w:rsidRPr="00027D9E">
        <w:t xml:space="preserve">esecutivi e degli altri </w:t>
      </w:r>
      <w:r w:rsidR="00E84E41">
        <w:t>A</w:t>
      </w:r>
      <w:r w:rsidR="00E84E41" w:rsidRPr="00027D9E">
        <w:t xml:space="preserve">mministratori </w:t>
      </w:r>
      <w:r w:rsidRPr="00027D9E">
        <w:t>che ricoprono particolari cariche</w:t>
      </w:r>
      <w:r w:rsidR="00E84E41">
        <w:t>,</w:t>
      </w:r>
      <w:r w:rsidRPr="00027D9E">
        <w:t xml:space="preserve"> nonché sulla fissazione degli obiettivi di </w:t>
      </w:r>
      <w:r w:rsidRPr="00027D9E">
        <w:rPr>
          <w:i/>
        </w:rPr>
        <w:t>performance</w:t>
      </w:r>
      <w:r w:rsidRPr="00027D9E">
        <w:t xml:space="preserve"> correlati alla componente variabile di tale remunerazione; monitora</w:t>
      </w:r>
      <w:r w:rsidR="00A60F45">
        <w:t>re</w:t>
      </w:r>
      <w:r w:rsidRPr="00027D9E">
        <w:t xml:space="preserve"> l’applicazione delle decisioni adottate dal </w:t>
      </w:r>
      <w:r w:rsidR="0007519F">
        <w:t>C</w:t>
      </w:r>
      <w:r w:rsidR="0007519F" w:rsidRPr="00027D9E">
        <w:t xml:space="preserve">onsiglio </w:t>
      </w:r>
      <w:r w:rsidRPr="00027D9E">
        <w:t xml:space="preserve">stesso verificando, in particolare, l’effettivo raggiungimento degli obiettivi di </w:t>
      </w:r>
      <w:r w:rsidRPr="00027D9E">
        <w:rPr>
          <w:i/>
        </w:rPr>
        <w:t>performance</w:t>
      </w:r>
      <w:r w:rsidR="00312A93">
        <w:t>;</w:t>
      </w:r>
    </w:p>
    <w:p w:rsidR="00C1536D" w:rsidRDefault="00312A93" w:rsidP="00027D9E">
      <w:pPr>
        <w:autoSpaceDE w:val="0"/>
        <w:autoSpaceDN w:val="0"/>
        <w:adjustRightInd w:val="0"/>
        <w:spacing w:before="120" w:after="120"/>
        <w:ind w:left="360" w:hanging="360"/>
        <w:jc w:val="both"/>
      </w:pPr>
      <w:r>
        <w:t>-</w:t>
      </w:r>
      <w:r>
        <w:tab/>
      </w:r>
      <w:r w:rsidR="00614448">
        <w:t>a richiesta del Consiglio di amministrazione,</w:t>
      </w:r>
      <w:r>
        <w:t xml:space="preserve"> valuta</w:t>
      </w:r>
      <w:r w:rsidR="00A60F45">
        <w:t>re</w:t>
      </w:r>
      <w:r>
        <w:t xml:space="preserve"> la politica generale della remune</w:t>
      </w:r>
      <w:r w:rsidR="00454FDA">
        <w:t>razione applicata dalla Società, in particolare nei confronti dei Dirigenti, esprimend</w:t>
      </w:r>
      <w:r>
        <w:t xml:space="preserve">o pareri e proposte al </w:t>
      </w:r>
      <w:r w:rsidR="000E533C">
        <w:t>C</w:t>
      </w:r>
      <w:r>
        <w:t>onsiglio di amministrazione</w:t>
      </w:r>
    </w:p>
    <w:p w:rsidR="00FA7CDF" w:rsidRDefault="00C1536D" w:rsidP="00D8549B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Per assolvere ai suoi incombenti, il </w:t>
      </w:r>
      <w:r w:rsidR="00FA7CDF" w:rsidRPr="00027D9E">
        <w:t xml:space="preserve">Comitato </w:t>
      </w:r>
      <w:r w:rsidR="004F37A0">
        <w:t xml:space="preserve">si consulta frequentemente e </w:t>
      </w:r>
      <w:r w:rsidR="00FA7CDF" w:rsidRPr="00027D9E">
        <w:t xml:space="preserve">si riunisce </w:t>
      </w:r>
      <w:r w:rsidR="004F37A0">
        <w:t xml:space="preserve">ritualmente </w:t>
      </w:r>
      <w:r w:rsidR="00FA7CDF" w:rsidRPr="00027D9E">
        <w:t>almeno una volta all’anno e comunque in occasione della riunione del Consiglio di Amministrazione chiamato a deliberare sulla remunerazione degli Amministratori Delegati o investiti di particolari cariche e/o dell’alta direzione della Società</w:t>
      </w:r>
      <w:r w:rsidR="00813725">
        <w:t>,</w:t>
      </w:r>
      <w:r w:rsidR="00FA7CDF" w:rsidRPr="00027D9E">
        <w:t xml:space="preserve"> nonché su eventuali piani di </w:t>
      </w:r>
      <w:r w:rsidR="00FA7CDF" w:rsidRPr="00027D9E">
        <w:rPr>
          <w:i/>
        </w:rPr>
        <w:t>stock option</w:t>
      </w:r>
      <w:r w:rsidR="00FA7CDF" w:rsidRPr="00027D9E">
        <w:t xml:space="preserve"> o di assegnazione di azioni.</w:t>
      </w:r>
    </w:p>
    <w:p w:rsidR="00F75414" w:rsidRDefault="00F75414" w:rsidP="00C1536D">
      <w:pPr>
        <w:spacing w:before="120" w:after="120"/>
        <w:jc w:val="center"/>
      </w:pPr>
    </w:p>
    <w:p w:rsidR="00C1536D" w:rsidRPr="00175D30" w:rsidRDefault="00C1536D" w:rsidP="00C1536D">
      <w:pPr>
        <w:spacing w:before="120" w:after="120"/>
        <w:jc w:val="center"/>
      </w:pPr>
      <w:r w:rsidRPr="00175D30">
        <w:t>* * * * * * *</w:t>
      </w:r>
    </w:p>
    <w:p w:rsidR="00C1536D" w:rsidRPr="00B604B3" w:rsidRDefault="00C1536D" w:rsidP="00D8549B">
      <w:pPr>
        <w:spacing w:before="120" w:after="120"/>
        <w:ind w:firstLine="709"/>
        <w:jc w:val="both"/>
      </w:pPr>
      <w:r w:rsidRPr="00E61953">
        <w:t>Nel corso dell’esercizio 201</w:t>
      </w:r>
      <w:r w:rsidR="003C304B">
        <w:t>4</w:t>
      </w:r>
      <w:r w:rsidRPr="00E61953">
        <w:t xml:space="preserve"> </w:t>
      </w:r>
      <w:r w:rsidR="00D970BB" w:rsidRPr="00E61953">
        <w:t>il Comitato ha svolto</w:t>
      </w:r>
      <w:r w:rsidR="001E5519" w:rsidRPr="00E61953">
        <w:t xml:space="preserve"> </w:t>
      </w:r>
      <w:r w:rsidR="003C304B">
        <w:t>una</w:t>
      </w:r>
      <w:r w:rsidRPr="00E61953">
        <w:t xml:space="preserve"> riunion</w:t>
      </w:r>
      <w:r w:rsidR="003C304B">
        <w:t>e</w:t>
      </w:r>
      <w:r w:rsidRPr="00E61953">
        <w:t xml:space="preserve">, della durata di </w:t>
      </w:r>
      <w:r w:rsidR="003C304B">
        <w:t xml:space="preserve">quaranta </w:t>
      </w:r>
      <w:r w:rsidR="00B849FB" w:rsidRPr="00E61953">
        <w:t xml:space="preserve"> </w:t>
      </w:r>
      <w:r w:rsidRPr="00B604B3">
        <w:t>minuti</w:t>
      </w:r>
      <w:r w:rsidR="008320AB">
        <w:t>, alla quale hanno partecipato tutti i suoi Componenti</w:t>
      </w:r>
      <w:r w:rsidRPr="00B604B3">
        <w:t xml:space="preserve">. </w:t>
      </w:r>
    </w:p>
    <w:p w:rsidR="00FA7CDF" w:rsidRPr="00B604B3" w:rsidRDefault="00ED23CD" w:rsidP="00D8549B">
      <w:pPr>
        <w:spacing w:before="120" w:after="120"/>
        <w:ind w:firstLine="709"/>
        <w:jc w:val="both"/>
      </w:pPr>
      <w:r w:rsidRPr="00B604B3">
        <w:t>Nell’esercizio, il Comitato ha svolto le seguenti attività:</w:t>
      </w:r>
    </w:p>
    <w:p w:rsidR="00D7548F" w:rsidRPr="0049117E" w:rsidRDefault="009F2E72" w:rsidP="00FE3CA0">
      <w:pPr>
        <w:numPr>
          <w:ilvl w:val="0"/>
          <w:numId w:val="19"/>
        </w:numPr>
        <w:spacing w:before="120" w:after="120"/>
        <w:jc w:val="both"/>
      </w:pPr>
      <w:r w:rsidRPr="0049117E">
        <w:t>h</w:t>
      </w:r>
      <w:r w:rsidR="00881017" w:rsidRPr="0049117E">
        <w:t xml:space="preserve">a </w:t>
      </w:r>
      <w:r w:rsidR="0013202D" w:rsidRPr="0049117E">
        <w:t xml:space="preserve">compiuto una ricognizione degli </w:t>
      </w:r>
      <w:r w:rsidR="00B849FB" w:rsidRPr="0049117E">
        <w:t xml:space="preserve">obiettivi di </w:t>
      </w:r>
      <w:r w:rsidR="00B849FB" w:rsidRPr="0049117E">
        <w:rPr>
          <w:i/>
        </w:rPr>
        <w:t>performance</w:t>
      </w:r>
      <w:r w:rsidR="00B849FB" w:rsidRPr="0049117E">
        <w:t xml:space="preserve"> su cui commisurare il premio </w:t>
      </w:r>
      <w:r w:rsidR="00733E98" w:rsidRPr="0049117E">
        <w:t>incentivante di profilo triennale</w:t>
      </w:r>
      <w:r w:rsidR="00225F1B" w:rsidRPr="0049117E">
        <w:t xml:space="preserve"> destinato agli </w:t>
      </w:r>
      <w:r w:rsidR="0013202D" w:rsidRPr="0049117E">
        <w:t xml:space="preserve">Amministratori </w:t>
      </w:r>
      <w:r w:rsidR="00225F1B" w:rsidRPr="0049117E">
        <w:t>esecutivi</w:t>
      </w:r>
      <w:r w:rsidR="00D7548F" w:rsidRPr="0049117E">
        <w:t>;</w:t>
      </w:r>
    </w:p>
    <w:p w:rsidR="00107DDD" w:rsidRPr="0049117E" w:rsidRDefault="00D7548F" w:rsidP="005B652B">
      <w:pPr>
        <w:numPr>
          <w:ilvl w:val="0"/>
          <w:numId w:val="19"/>
        </w:numPr>
        <w:spacing w:before="120" w:after="120"/>
        <w:jc w:val="both"/>
      </w:pPr>
      <w:r w:rsidRPr="0049117E">
        <w:t xml:space="preserve">ha valutato l’effettiva applicazione della politica di remunerazione adottata dalla Società, ritenendo </w:t>
      </w:r>
      <w:r w:rsidR="007B7D28" w:rsidRPr="0049117E">
        <w:t>il suo procedimento attuativo rispettoso de</w:t>
      </w:r>
      <w:r w:rsidRPr="0049117E">
        <w:t xml:space="preserve">lle prescrizioni </w:t>
      </w:r>
      <w:r w:rsidR="007B7D28" w:rsidRPr="0049117E">
        <w:t xml:space="preserve">normative applicabili e nel merito conforme </w:t>
      </w:r>
      <w:r w:rsidRPr="0049117E">
        <w:t xml:space="preserve">alle deliberazioni </w:t>
      </w:r>
      <w:r w:rsidR="007B7D28" w:rsidRPr="0049117E">
        <w:t xml:space="preserve">assunte </w:t>
      </w:r>
      <w:r w:rsidRPr="0049117E">
        <w:t>d</w:t>
      </w:r>
      <w:r w:rsidR="007B7D28" w:rsidRPr="0049117E">
        <w:t>a</w:t>
      </w:r>
      <w:r w:rsidRPr="0049117E">
        <w:t>i Competenti Organi sociali.</w:t>
      </w:r>
      <w:r w:rsidR="00056692" w:rsidRPr="0049117E">
        <w:t xml:space="preserve"> </w:t>
      </w:r>
    </w:p>
    <w:p w:rsidR="00107DDD" w:rsidRPr="00B34D3C" w:rsidRDefault="00ED23CD" w:rsidP="00E61953">
      <w:pPr>
        <w:spacing w:before="120" w:after="120"/>
        <w:ind w:firstLine="709"/>
        <w:jc w:val="both"/>
      </w:pPr>
      <w:r w:rsidRPr="00B604B3">
        <w:t>Il Comitato dà atto di aver potuto accedere, nello svolgimento dei suoi compiti, a tutte le informazioni e funzioni aziendali necessarie.</w:t>
      </w:r>
      <w:r w:rsidR="00E84E41" w:rsidRPr="00A0519D">
        <w:t xml:space="preserve"> N</w:t>
      </w:r>
      <w:r w:rsidR="00107DDD" w:rsidRPr="00A0519D">
        <w:t>on ha ritenuto necessario avvalersi di esperti</w:t>
      </w:r>
      <w:r w:rsidR="00107DDD" w:rsidRPr="009C75DB">
        <w:t xml:space="preserve"> indipendenti esterni.</w:t>
      </w:r>
      <w:r w:rsidR="005A2060">
        <w:t xml:space="preserve"> </w:t>
      </w:r>
      <w:r w:rsidR="008B0610">
        <w:t xml:space="preserve">Qualora tale esigenza si </w:t>
      </w:r>
      <w:r w:rsidR="008B0610" w:rsidRPr="008B0610">
        <w:t xml:space="preserve">presentasse </w:t>
      </w:r>
      <w:r w:rsidR="005A2060" w:rsidRPr="008B0610">
        <w:t xml:space="preserve">, </w:t>
      </w:r>
      <w:r w:rsidR="008B0610" w:rsidRPr="0049117E">
        <w:t xml:space="preserve">il Comitato avrebbe facoltà di ottenere dal Consiglio di Amministrazione un’adeguata </w:t>
      </w:r>
      <w:r w:rsidR="005A2060" w:rsidRPr="008B0610">
        <w:t xml:space="preserve"> dotazione di spesa</w:t>
      </w:r>
      <w:r w:rsidR="008B0610" w:rsidRPr="0049117E">
        <w:t>.</w:t>
      </w:r>
    </w:p>
    <w:p w:rsidR="00C1536D" w:rsidRPr="00E61953" w:rsidRDefault="00C1536D" w:rsidP="00D8549B">
      <w:pPr>
        <w:spacing w:before="120" w:after="120"/>
        <w:ind w:firstLine="709"/>
        <w:jc w:val="both"/>
      </w:pPr>
      <w:r w:rsidRPr="0049117E">
        <w:t>Nell’esercizio in corso</w:t>
      </w:r>
      <w:r w:rsidR="00B604B3">
        <w:t xml:space="preserve">, da parte del Comitato </w:t>
      </w:r>
      <w:r w:rsidR="00895814">
        <w:t xml:space="preserve">il cui mandato è </w:t>
      </w:r>
      <w:r w:rsidR="00B604B3">
        <w:t>in scadenza</w:t>
      </w:r>
      <w:r w:rsidR="00A90B7D">
        <w:t xml:space="preserve">, </w:t>
      </w:r>
      <w:r w:rsidRPr="0049117E">
        <w:t xml:space="preserve">è previsto lo svolgimento di </w:t>
      </w:r>
      <w:r w:rsidR="00532154" w:rsidRPr="0049117E">
        <w:t xml:space="preserve">una </w:t>
      </w:r>
      <w:r w:rsidR="00733E98" w:rsidRPr="0049117E">
        <w:t xml:space="preserve">sola </w:t>
      </w:r>
      <w:r w:rsidR="00532154" w:rsidRPr="0049117E">
        <w:t>riunione</w:t>
      </w:r>
      <w:r w:rsidRPr="0049117E">
        <w:t xml:space="preserve">, </w:t>
      </w:r>
      <w:r w:rsidR="00733E98" w:rsidRPr="0049117E">
        <w:t>già svoltasi alla data di approvazione della presente relazione.</w:t>
      </w:r>
    </w:p>
    <w:p w:rsidR="00C1536D" w:rsidRPr="009C75DB" w:rsidRDefault="00C1536D" w:rsidP="00027D9E">
      <w:pPr>
        <w:spacing w:before="120" w:after="120"/>
        <w:jc w:val="both"/>
      </w:pPr>
    </w:p>
    <w:p w:rsidR="00614D29" w:rsidRPr="007F3589" w:rsidRDefault="00503D14" w:rsidP="00503D14">
      <w:pPr>
        <w:pStyle w:val="Titolo2"/>
        <w:spacing w:before="120" w:after="120"/>
        <w:ind w:left="-3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20606111"/>
      <w:r w:rsidRPr="00B77ABC">
        <w:rPr>
          <w:rFonts w:ascii="Times New Roman" w:hAnsi="Times New Roman" w:cs="Times New Roman"/>
          <w:i w:val="0"/>
          <w:sz w:val="24"/>
          <w:szCs w:val="24"/>
        </w:rPr>
        <w:t>3.</w:t>
      </w:r>
      <w:r w:rsidRPr="00B77ABC">
        <w:rPr>
          <w:rFonts w:ascii="Times New Roman" w:hAnsi="Times New Roman" w:cs="Times New Roman"/>
          <w:i w:val="0"/>
          <w:sz w:val="24"/>
          <w:szCs w:val="24"/>
        </w:rPr>
        <w:tab/>
      </w:r>
      <w:r w:rsidR="00614D29" w:rsidRPr="007F3589">
        <w:rPr>
          <w:rFonts w:ascii="Times New Roman" w:hAnsi="Times New Roman" w:cs="Times New Roman"/>
          <w:i w:val="0"/>
          <w:sz w:val="24"/>
          <w:szCs w:val="24"/>
        </w:rPr>
        <w:t xml:space="preserve">Finalità </w:t>
      </w:r>
      <w:r w:rsidR="007F3589" w:rsidRPr="00B77ABC">
        <w:rPr>
          <w:rFonts w:ascii="Times New Roman" w:hAnsi="Times New Roman" w:cs="Times New Roman"/>
          <w:i w:val="0"/>
          <w:sz w:val="24"/>
          <w:szCs w:val="24"/>
        </w:rPr>
        <w:t xml:space="preserve">e principi della </w:t>
      </w:r>
      <w:r w:rsidR="007F3589" w:rsidRPr="007F3589">
        <w:rPr>
          <w:rFonts w:ascii="Times New Roman" w:hAnsi="Times New Roman" w:cs="Times New Roman"/>
          <w:i w:val="0"/>
          <w:sz w:val="24"/>
          <w:szCs w:val="24"/>
        </w:rPr>
        <w:t>Politica di Remunerazione</w:t>
      </w:r>
      <w:bookmarkEnd w:id="3"/>
    </w:p>
    <w:p w:rsidR="00614D29" w:rsidRPr="00244B85" w:rsidRDefault="00614D29" w:rsidP="00D8549B">
      <w:pPr>
        <w:autoSpaceDE w:val="0"/>
        <w:autoSpaceDN w:val="0"/>
        <w:adjustRightInd w:val="0"/>
        <w:spacing w:before="120" w:after="120"/>
        <w:ind w:firstLine="708"/>
        <w:jc w:val="both"/>
      </w:pPr>
      <w:smartTag w:uri="urn:schemas-microsoft-com:office:smarttags" w:element="PersonName">
        <w:smartTagPr>
          <w:attr w:name="ProductID" w:val="La Politica"/>
        </w:smartTagPr>
        <w:r w:rsidRPr="00027D9E">
          <w:t>La Politica</w:t>
        </w:r>
      </w:smartTag>
      <w:r w:rsidRPr="00027D9E">
        <w:t xml:space="preserve"> di Remunerazione della Società </w:t>
      </w:r>
      <w:r w:rsidR="00881017">
        <w:t>è</w:t>
      </w:r>
      <w:r w:rsidRPr="00027D9E">
        <w:t xml:space="preserve"> preordinata ad attrarre, motivare e trattenere le risorse </w:t>
      </w:r>
      <w:r w:rsidR="00F408B5">
        <w:t xml:space="preserve">umane, </w:t>
      </w:r>
      <w:r w:rsidRPr="00027D9E">
        <w:t xml:space="preserve">in possesso delle qualità professionali richieste per perseguire proficuamente gli </w:t>
      </w:r>
      <w:r w:rsidRPr="00A90B7D">
        <w:t>obiettivi del</w:t>
      </w:r>
      <w:r w:rsidRPr="008320AB">
        <w:t xml:space="preserve">la Società. </w:t>
      </w:r>
    </w:p>
    <w:p w:rsidR="007F3589" w:rsidRPr="005A2060" w:rsidRDefault="007F3589" w:rsidP="00D8549B">
      <w:pPr>
        <w:autoSpaceDE w:val="0"/>
        <w:autoSpaceDN w:val="0"/>
        <w:adjustRightInd w:val="0"/>
        <w:spacing w:before="120" w:after="120"/>
        <w:ind w:firstLine="708"/>
        <w:jc w:val="both"/>
      </w:pPr>
      <w:r w:rsidRPr="00244B85">
        <w:t>La Politica di Remunerazione</w:t>
      </w:r>
      <w:r w:rsidR="00ED23CD" w:rsidRPr="00A0519D">
        <w:t>, con riferimento specifico a</w:t>
      </w:r>
      <w:r w:rsidR="0046577E" w:rsidRPr="005A2060">
        <w:t>ll’</w:t>
      </w:r>
      <w:r w:rsidR="00680E1D" w:rsidRPr="005A2060">
        <w:t>Amministrator</w:t>
      </w:r>
      <w:r w:rsidR="0046577E" w:rsidRPr="005A2060">
        <w:t>e delegato</w:t>
      </w:r>
      <w:r w:rsidR="00ED23CD" w:rsidRPr="005A2060">
        <w:t>,</w:t>
      </w:r>
      <w:r w:rsidRPr="005A2060">
        <w:t xml:space="preserve"> </w:t>
      </w:r>
      <w:r w:rsidR="00951569" w:rsidRPr="0049117E">
        <w:t>invariata rispetto agli esercizi precedenti,</w:t>
      </w:r>
      <w:r w:rsidR="00951569" w:rsidRPr="00A90B7D">
        <w:t xml:space="preserve"> </w:t>
      </w:r>
      <w:r w:rsidRPr="008320AB">
        <w:t>è volta a</w:t>
      </w:r>
      <w:r w:rsidR="00E340FF" w:rsidRPr="00244B85">
        <w:t xml:space="preserve">l </w:t>
      </w:r>
      <w:r w:rsidRPr="00244B85">
        <w:t xml:space="preserve">raggiungimento dei </w:t>
      </w:r>
      <w:r w:rsidR="00680E1D" w:rsidRPr="00A0519D">
        <w:t>seguenti</w:t>
      </w:r>
      <w:r w:rsidR="00FE1493" w:rsidRPr="005A2060">
        <w:t xml:space="preserve"> obiettivi</w:t>
      </w:r>
      <w:r w:rsidRPr="005A2060">
        <w:t>:</w:t>
      </w:r>
    </w:p>
    <w:p w:rsidR="00AA4762" w:rsidRPr="00A90B7D" w:rsidRDefault="0046577E" w:rsidP="00AC2E2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</w:pPr>
      <w:r w:rsidRPr="00A90B7D">
        <w:t xml:space="preserve">coinvolgerlo </w:t>
      </w:r>
      <w:r w:rsidR="00AA4762" w:rsidRPr="00A90B7D">
        <w:t xml:space="preserve">ed </w:t>
      </w:r>
      <w:r w:rsidRPr="00A90B7D">
        <w:t>incentivarlo</w:t>
      </w:r>
      <w:r w:rsidR="0042195E" w:rsidRPr="00A90B7D">
        <w:t>, attraverso l’identificazione di specifici risultati gestionali agevolmente misurabili, correlati ed adeguatamente espressivi della creazione di valore per tutti gli Azionisti in un’ottica di medio-lungo termine</w:t>
      </w:r>
      <w:r w:rsidR="00ED23CD" w:rsidRPr="00A90B7D">
        <w:t>;</w:t>
      </w:r>
      <w:r w:rsidR="00AA4762" w:rsidRPr="00A90B7D">
        <w:t xml:space="preserve"> </w:t>
      </w:r>
    </w:p>
    <w:p w:rsidR="00AA4762" w:rsidRPr="00A90B7D" w:rsidRDefault="00AA4762" w:rsidP="00AC2E2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</w:pPr>
      <w:r w:rsidRPr="00A90B7D">
        <w:t>favorir</w:t>
      </w:r>
      <w:r w:rsidR="005D7FF4" w:rsidRPr="00A90B7D">
        <w:t>n</w:t>
      </w:r>
      <w:r w:rsidRPr="00A90B7D">
        <w:t>e la fidelizzazione;</w:t>
      </w:r>
    </w:p>
    <w:p w:rsidR="00E20BA2" w:rsidRPr="00A90B7D" w:rsidRDefault="0042195E" w:rsidP="00AC2E2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</w:pPr>
      <w:r w:rsidRPr="00A90B7D">
        <w:t>stabilire per Lui un corretto bilanciamento tra</w:t>
      </w:r>
      <w:r w:rsidR="00AA4762" w:rsidRPr="00A90B7D">
        <w:t xml:space="preserve"> componente fi</w:t>
      </w:r>
      <w:r w:rsidR="00EA16A7" w:rsidRPr="00A90B7D">
        <w:t xml:space="preserve">ssa </w:t>
      </w:r>
      <w:r w:rsidRPr="00A90B7D">
        <w:t>e</w:t>
      </w:r>
      <w:r w:rsidR="00EA16A7" w:rsidRPr="00A90B7D">
        <w:t xml:space="preserve"> componente</w:t>
      </w:r>
      <w:r w:rsidR="00AA4762" w:rsidRPr="00A90B7D">
        <w:t xml:space="preserve"> variabile</w:t>
      </w:r>
      <w:r w:rsidRPr="00A90B7D">
        <w:t xml:space="preserve"> della remunerazione</w:t>
      </w:r>
      <w:r w:rsidR="00EA16A7" w:rsidRPr="00A90B7D">
        <w:t>,</w:t>
      </w:r>
      <w:r w:rsidR="00AA4762" w:rsidRPr="00A90B7D">
        <w:t xml:space="preserve"> </w:t>
      </w:r>
      <w:r w:rsidRPr="00A90B7D">
        <w:t>allo scopo di consentire un</w:t>
      </w:r>
      <w:r w:rsidR="009461C1" w:rsidRPr="00A90B7D">
        <w:t>’</w:t>
      </w:r>
      <w:r w:rsidRPr="00A90B7D">
        <w:t>adeguata incentivazione ed al contempo remunerare adeguatamente l’Amministratore delegato anche nel caso di mancato raggiungimento degli obiettivi di performance prestabiliti</w:t>
      </w:r>
      <w:r w:rsidR="00E20BA2" w:rsidRPr="00A90B7D">
        <w:t>;</w:t>
      </w:r>
    </w:p>
    <w:p w:rsidR="00AA4762" w:rsidRPr="008320AB" w:rsidRDefault="00E20BA2" w:rsidP="009461C1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</w:pPr>
      <w:r w:rsidRPr="0049117E">
        <w:t>stabilire compensi che siano adeguati in relazione al grado di rischio aziendale prescelto dal Consiglio di amministrazione nella redazione dei piani</w:t>
      </w:r>
      <w:r w:rsidR="009461C1" w:rsidRPr="00A90B7D">
        <w:t>.</w:t>
      </w:r>
    </w:p>
    <w:p w:rsidR="00E340FF" w:rsidRPr="003C53D3" w:rsidRDefault="00E340FF" w:rsidP="00D8549B">
      <w:pPr>
        <w:autoSpaceDE w:val="0"/>
        <w:autoSpaceDN w:val="0"/>
        <w:adjustRightInd w:val="0"/>
        <w:spacing w:before="120" w:after="120"/>
        <w:ind w:firstLine="708"/>
        <w:jc w:val="both"/>
      </w:pPr>
      <w:r w:rsidRPr="00A0519D">
        <w:t xml:space="preserve">Nella determinazione della remunerazione, il Consiglio di Amministrazione </w:t>
      </w:r>
      <w:r w:rsidR="005A2060">
        <w:t>ha tenuto</w:t>
      </w:r>
      <w:r w:rsidR="005A2060" w:rsidRPr="00A0519D">
        <w:t xml:space="preserve"> </w:t>
      </w:r>
      <w:r w:rsidRPr="00A0519D">
        <w:t>conto (i)</w:t>
      </w:r>
      <w:r w:rsidRPr="003C53D3">
        <w:t xml:space="preserve"> de</w:t>
      </w:r>
      <w:r>
        <w:t>lla tradizione remunerativa del Gruppo</w:t>
      </w:r>
      <w:r w:rsidR="00517C78">
        <w:t>;</w:t>
      </w:r>
      <w:r w:rsidRPr="003C53D3">
        <w:t xml:space="preserve"> (ii) delle dimensioni aziendali</w:t>
      </w:r>
      <w:r w:rsidR="00517C78">
        <w:t>;</w:t>
      </w:r>
      <w:r w:rsidR="00517C78" w:rsidRPr="003C53D3">
        <w:t xml:space="preserve"> </w:t>
      </w:r>
      <w:r w:rsidRPr="003C53D3">
        <w:t xml:space="preserve">(iii) della rilevanza </w:t>
      </w:r>
      <w:r w:rsidR="0046577E" w:rsidRPr="003C53D3">
        <w:t>dell</w:t>
      </w:r>
      <w:r w:rsidR="0046577E">
        <w:t>a</w:t>
      </w:r>
      <w:r w:rsidR="0046577E" w:rsidRPr="003C53D3">
        <w:t xml:space="preserve"> </w:t>
      </w:r>
      <w:r w:rsidRPr="003C53D3">
        <w:t>posizion</w:t>
      </w:r>
      <w:r w:rsidR="0046577E">
        <w:t>e</w:t>
      </w:r>
      <w:r w:rsidRPr="003C53D3">
        <w:t xml:space="preserve"> </w:t>
      </w:r>
      <w:r w:rsidR="0046577E" w:rsidRPr="003C53D3">
        <w:t>interessat</w:t>
      </w:r>
      <w:r w:rsidR="0046577E">
        <w:t>a</w:t>
      </w:r>
      <w:r w:rsidR="0046577E" w:rsidRPr="003C53D3">
        <w:t xml:space="preserve"> </w:t>
      </w:r>
      <w:r w:rsidRPr="003C53D3">
        <w:t>(posizione e livello nella struttura organizzativa, contributo strategico e criticità del ruolo, impatto sui risultati aziendali</w:t>
      </w:r>
      <w:r w:rsidR="00517C78" w:rsidRPr="003C53D3">
        <w:t>)</w:t>
      </w:r>
      <w:r w:rsidR="00517C78">
        <w:t>;</w:t>
      </w:r>
      <w:r w:rsidR="00517C78" w:rsidRPr="003C53D3">
        <w:t xml:space="preserve"> </w:t>
      </w:r>
      <w:r w:rsidRPr="003C53D3">
        <w:t xml:space="preserve">(iv) </w:t>
      </w:r>
      <w:r>
        <w:t>del profilo di rischio che si accompagna</w:t>
      </w:r>
      <w:r w:rsidR="0046577E">
        <w:t xml:space="preserve"> alle funzioni</w:t>
      </w:r>
      <w:r w:rsidR="005A2060">
        <w:t xml:space="preserve"> svolte</w:t>
      </w:r>
      <w:r>
        <w:t xml:space="preserve">, </w:t>
      </w:r>
      <w:r w:rsidR="00F408B5" w:rsidRPr="003C53D3">
        <w:t xml:space="preserve">nonché </w:t>
      </w:r>
      <w:r>
        <w:t xml:space="preserve">(v) </w:t>
      </w:r>
      <w:r w:rsidRPr="003C53D3">
        <w:t>della componente fiscale.</w:t>
      </w:r>
    </w:p>
    <w:p w:rsidR="004F15B2" w:rsidRPr="00D3619D" w:rsidRDefault="004F15B2" w:rsidP="00D8549B">
      <w:pPr>
        <w:spacing w:before="120" w:after="120"/>
        <w:ind w:firstLine="708"/>
        <w:jc w:val="both"/>
      </w:pPr>
      <w:r w:rsidRPr="004F2797">
        <w:t>I principi sopra esposti di incentivazione del merito e</w:t>
      </w:r>
      <w:r w:rsidR="00517C78">
        <w:t xml:space="preserve"> </w:t>
      </w:r>
      <w:r w:rsidRPr="004F2797">
        <w:t>d</w:t>
      </w:r>
      <w:r w:rsidR="00517C78">
        <w:t>ell’</w:t>
      </w:r>
      <w:r w:rsidRPr="004F2797">
        <w:t xml:space="preserve">efficienza ispirano la politica retributiva </w:t>
      </w:r>
      <w:r w:rsidRPr="00175D30">
        <w:t xml:space="preserve">del Gruppo </w:t>
      </w:r>
      <w:r w:rsidR="0046577E">
        <w:t>anche</w:t>
      </w:r>
      <w:r w:rsidRPr="00175D30">
        <w:t xml:space="preserve"> nelle sue diverse articolazioni societarie e manageriali</w:t>
      </w:r>
      <w:r w:rsidRPr="00D3619D">
        <w:t xml:space="preserve">. </w:t>
      </w:r>
    </w:p>
    <w:p w:rsidR="00EF23BF" w:rsidRDefault="00EF23BF" w:rsidP="00B77ABC">
      <w:pPr>
        <w:spacing w:before="120" w:after="120"/>
        <w:jc w:val="both"/>
      </w:pPr>
    </w:p>
    <w:p w:rsidR="007F3589" w:rsidRPr="00D3619D" w:rsidRDefault="007F3589" w:rsidP="00027D9E">
      <w:pPr>
        <w:spacing w:before="120" w:after="120"/>
        <w:jc w:val="both"/>
      </w:pPr>
      <w:r w:rsidRPr="00175D30">
        <w:rPr>
          <w:b/>
        </w:rPr>
        <w:t>4.</w:t>
      </w:r>
      <w:r w:rsidRPr="00175D30">
        <w:rPr>
          <w:b/>
        </w:rPr>
        <w:tab/>
        <w:t>Componenti della remunerazione</w:t>
      </w:r>
    </w:p>
    <w:p w:rsidR="00817993" w:rsidRPr="005B652B" w:rsidRDefault="00817993" w:rsidP="00B77ABC">
      <w:pPr>
        <w:autoSpaceDE w:val="0"/>
        <w:autoSpaceDN w:val="0"/>
        <w:adjustRightInd w:val="0"/>
        <w:spacing w:before="120" w:after="120"/>
        <w:jc w:val="both"/>
        <w:rPr>
          <w:b/>
          <w:i/>
        </w:rPr>
      </w:pPr>
      <w:r w:rsidRPr="005B652B">
        <w:rPr>
          <w:b/>
          <w:i/>
        </w:rPr>
        <w:t>4.1</w:t>
      </w:r>
      <w:r w:rsidRPr="005B652B">
        <w:rPr>
          <w:b/>
          <w:i/>
        </w:rPr>
        <w:tab/>
        <w:t xml:space="preserve">La remunerazione degli </w:t>
      </w:r>
      <w:r w:rsidR="002D7468">
        <w:rPr>
          <w:b/>
          <w:i/>
        </w:rPr>
        <w:t>A</w:t>
      </w:r>
      <w:r w:rsidR="002D7468" w:rsidRPr="005B652B">
        <w:rPr>
          <w:b/>
          <w:i/>
        </w:rPr>
        <w:t xml:space="preserve">mministratori </w:t>
      </w:r>
      <w:r w:rsidRPr="005B652B">
        <w:rPr>
          <w:b/>
          <w:i/>
        </w:rPr>
        <w:t>investiti di particolari cariche</w:t>
      </w:r>
    </w:p>
    <w:p w:rsidR="00E340FF" w:rsidRPr="0065202E" w:rsidRDefault="002435FB" w:rsidP="00D8549B">
      <w:pPr>
        <w:spacing w:before="120" w:after="120"/>
        <w:ind w:firstLine="708"/>
        <w:jc w:val="both"/>
      </w:pPr>
      <w:r w:rsidRPr="005B652B">
        <w:t xml:space="preserve">Il Consiglio di Amministrazione, nel valutare l’applicazione della politica d’incentivazione </w:t>
      </w:r>
      <w:r w:rsidR="002C161E">
        <w:t>de</w:t>
      </w:r>
      <w:r w:rsidR="002C161E" w:rsidRPr="005B652B">
        <w:t xml:space="preserve">gli </w:t>
      </w:r>
      <w:r w:rsidRPr="005B652B">
        <w:t xml:space="preserve">Amministratori esecutivi, </w:t>
      </w:r>
      <w:r w:rsidR="006715E3" w:rsidRPr="005B652B">
        <w:t xml:space="preserve">tiene conto della </w:t>
      </w:r>
      <w:r w:rsidRPr="005B652B">
        <w:t xml:space="preserve">loro qualità di </w:t>
      </w:r>
      <w:r w:rsidR="000E533C">
        <w:t>S</w:t>
      </w:r>
      <w:r w:rsidRPr="005B652B">
        <w:t>oci di riferimento di P</w:t>
      </w:r>
      <w:r w:rsidR="0065202E" w:rsidRPr="005B652B">
        <w:t>enta</w:t>
      </w:r>
      <w:r w:rsidRPr="005D7FF4">
        <w:t xml:space="preserve"> H</w:t>
      </w:r>
      <w:r w:rsidR="0065202E" w:rsidRPr="005D7FF4">
        <w:t xml:space="preserve">olding </w:t>
      </w:r>
      <w:r w:rsidR="009F2E72">
        <w:t>S.p.A</w:t>
      </w:r>
      <w:r w:rsidR="005D7FF4" w:rsidRPr="005D7FF4">
        <w:t>.</w:t>
      </w:r>
      <w:r w:rsidRPr="005D7FF4">
        <w:t>, società controllante Bolzoni S.p.A.</w:t>
      </w:r>
    </w:p>
    <w:p w:rsidR="002435FB" w:rsidRPr="0065202E" w:rsidRDefault="002435FB" w:rsidP="00D8549B">
      <w:pPr>
        <w:spacing w:before="120" w:after="120"/>
        <w:ind w:firstLine="708"/>
        <w:jc w:val="both"/>
      </w:pPr>
      <w:r w:rsidRPr="0065202E">
        <w:t xml:space="preserve">Tale </w:t>
      </w:r>
      <w:r w:rsidR="00DF1BDC">
        <w:t>circostanza</w:t>
      </w:r>
      <w:r w:rsidR="00DF1BDC" w:rsidRPr="0065202E">
        <w:t xml:space="preserve"> </w:t>
      </w:r>
      <w:r w:rsidRPr="0065202E">
        <w:t>costituisce una componente essenziale, qualificante ed inscindibile del rispettivo pluridecennale rapporto con la Società</w:t>
      </w:r>
      <w:r w:rsidR="006715E3" w:rsidRPr="0065202E">
        <w:t xml:space="preserve"> e garantisce </w:t>
      </w:r>
      <w:r w:rsidR="006715E3" w:rsidRPr="004F3D57">
        <w:rPr>
          <w:i/>
        </w:rPr>
        <w:t>ex se</w:t>
      </w:r>
      <w:r w:rsidRPr="0065202E">
        <w:t xml:space="preserve"> l’allineamento degli obiettivi del loro operare </w:t>
      </w:r>
      <w:r w:rsidR="006715E3" w:rsidRPr="0065202E">
        <w:t>al</w:t>
      </w:r>
      <w:r w:rsidRPr="0065202E">
        <w:t>la finalità di stabile creazione di valore per tutti gli Azionisti in un’ottica di lungo periodo.</w:t>
      </w:r>
    </w:p>
    <w:p w:rsidR="002435FB" w:rsidRPr="003C53D3" w:rsidRDefault="002435FB" w:rsidP="00D8549B">
      <w:pPr>
        <w:spacing w:before="120" w:after="120"/>
        <w:ind w:firstLine="708"/>
        <w:jc w:val="both"/>
      </w:pPr>
      <w:r w:rsidRPr="0065202E">
        <w:t xml:space="preserve">La politica di remunerazione di Bolzoni S.p.A. nei loro confronti, pertanto, </w:t>
      </w:r>
      <w:r w:rsidR="002C161E">
        <w:t>con tutta probabilità</w:t>
      </w:r>
      <w:r w:rsidR="002C161E" w:rsidRPr="0065202E">
        <w:t xml:space="preserve"> </w:t>
      </w:r>
      <w:r w:rsidRPr="0065202E">
        <w:t xml:space="preserve">non risponde </w:t>
      </w:r>
      <w:r w:rsidR="00BA0696">
        <w:t xml:space="preserve">integralmente </w:t>
      </w:r>
      <w:r w:rsidRPr="0065202E">
        <w:t xml:space="preserve">ai canoni tradizionalmente e comunemente prescelti </w:t>
      </w:r>
      <w:r w:rsidR="006715E3" w:rsidRPr="0065202E">
        <w:t xml:space="preserve">in Dottrina </w:t>
      </w:r>
      <w:r w:rsidRPr="0065202E">
        <w:t xml:space="preserve">e per certi versi non rispecchia le indicazioni del Codice. Cionondimeno, </w:t>
      </w:r>
      <w:r w:rsidR="0007519F">
        <w:t xml:space="preserve">la qualità di Soci della </w:t>
      </w:r>
      <w:r w:rsidR="003723C6">
        <w:t xml:space="preserve">Controllante </w:t>
      </w:r>
      <w:r w:rsidR="0007519F">
        <w:t xml:space="preserve">rivestita dagli Amministratori esecutivi si accompagna strettamente al loro </w:t>
      </w:r>
      <w:r w:rsidRPr="0065202E">
        <w:t xml:space="preserve">costante </w:t>
      </w:r>
      <w:r w:rsidR="0007519F" w:rsidRPr="0065202E">
        <w:t xml:space="preserve">impegno </w:t>
      </w:r>
      <w:r w:rsidR="0007519F">
        <w:t>nel dare il</w:t>
      </w:r>
      <w:r w:rsidRPr="0065202E">
        <w:t xml:space="preserve"> massimo impulso </w:t>
      </w:r>
      <w:r w:rsidR="0007519F">
        <w:t>all</w:t>
      </w:r>
      <w:r w:rsidR="0007519F" w:rsidRPr="0065202E">
        <w:t xml:space="preserve">’attività </w:t>
      </w:r>
      <w:r w:rsidRPr="0065202E">
        <w:t xml:space="preserve">di Bolzoni </w:t>
      </w:r>
      <w:r w:rsidR="0007519F">
        <w:t xml:space="preserve">e </w:t>
      </w:r>
      <w:r w:rsidRPr="0065202E">
        <w:t xml:space="preserve">costituisce </w:t>
      </w:r>
      <w:r w:rsidR="006715E3" w:rsidRPr="0065202E">
        <w:t xml:space="preserve">carattere essenziale del loro apporto e </w:t>
      </w:r>
      <w:r w:rsidRPr="0065202E">
        <w:t>fattore determinante della prosperità aziendale.</w:t>
      </w:r>
    </w:p>
    <w:p w:rsidR="008D3BF6" w:rsidRPr="00B11FB1" w:rsidRDefault="005F0DBF" w:rsidP="00D8549B">
      <w:pPr>
        <w:spacing w:before="120" w:after="120"/>
        <w:ind w:firstLine="708"/>
        <w:jc w:val="both"/>
      </w:pPr>
      <w:r w:rsidRPr="00621218">
        <w:t>Per qu</w:t>
      </w:r>
      <w:r w:rsidRPr="00AB514A">
        <w:t>anto sopra, la</w:t>
      </w:r>
      <w:r w:rsidR="008D3BF6" w:rsidRPr="00AB514A">
        <w:t xml:space="preserve"> remunerazione del Presidente</w:t>
      </w:r>
      <w:r w:rsidR="000163A4" w:rsidRPr="00AB514A">
        <w:t>, Emilio Bolzoni,</w:t>
      </w:r>
      <w:r w:rsidR="008D3BF6" w:rsidRPr="00B11FB1">
        <w:t xml:space="preserve"> </w:t>
      </w:r>
      <w:r w:rsidR="00DF1BDC">
        <w:t xml:space="preserve">depositario di deleghe gestionali, esercitabili in forma disgiunta rispetto </w:t>
      </w:r>
      <w:r w:rsidR="002C161E">
        <w:t xml:space="preserve">all’Amministratore </w:t>
      </w:r>
      <w:r w:rsidR="00DF1BDC">
        <w:t xml:space="preserve">delegato, </w:t>
      </w:r>
      <w:r w:rsidR="008D3BF6" w:rsidRPr="00B11FB1">
        <w:t xml:space="preserve">non è legata ai risultati economici conseguiti dalla Società e, pertanto, è composta </w:t>
      </w:r>
      <w:r w:rsidR="006E48E3">
        <w:t>esclusivamente</w:t>
      </w:r>
      <w:r w:rsidR="006E48E3" w:rsidRPr="00B11FB1">
        <w:t xml:space="preserve"> </w:t>
      </w:r>
      <w:r w:rsidR="008D3BF6" w:rsidRPr="00B11FB1">
        <w:t>da una parte fissa</w:t>
      </w:r>
      <w:r w:rsidR="006E48E3">
        <w:t>,</w:t>
      </w:r>
      <w:r w:rsidR="008D3BF6" w:rsidRPr="00B11FB1">
        <w:t xml:space="preserve"> determinata </w:t>
      </w:r>
      <w:r w:rsidR="00DF50FA">
        <w:t>all’interno dell</w:t>
      </w:r>
      <w:r>
        <w:t xml:space="preserve">’ammontare complessivo stabilito </w:t>
      </w:r>
      <w:r w:rsidR="008D3BF6" w:rsidRPr="00B11FB1">
        <w:t>dall’Assemblea all’atto della nomina</w:t>
      </w:r>
      <w:r w:rsidR="00DF1BDC">
        <w:t xml:space="preserve"> del nuovo </w:t>
      </w:r>
      <w:r w:rsidR="000E533C">
        <w:t>C</w:t>
      </w:r>
      <w:r w:rsidR="00DF1BDC">
        <w:t>onsiglio</w:t>
      </w:r>
      <w:r w:rsidR="008D3BF6" w:rsidRPr="00B11FB1">
        <w:t>.</w:t>
      </w:r>
      <w:r w:rsidR="008D3BF6">
        <w:t xml:space="preserve"> </w:t>
      </w:r>
    </w:p>
    <w:p w:rsidR="00F75414" w:rsidRDefault="00F75414" w:rsidP="00D8549B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F75414" w:rsidRDefault="006E48E3" w:rsidP="00345647">
      <w:pPr>
        <w:autoSpaceDE w:val="0"/>
        <w:autoSpaceDN w:val="0"/>
        <w:adjustRightInd w:val="0"/>
        <w:spacing w:before="120" w:after="120"/>
        <w:jc w:val="center"/>
      </w:pPr>
      <w:r>
        <w:t>* * * * * * *</w:t>
      </w:r>
    </w:p>
    <w:p w:rsidR="00F75414" w:rsidRDefault="00F75414" w:rsidP="00D8549B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BA0696" w:rsidRDefault="0017595F" w:rsidP="00D8549B">
      <w:pPr>
        <w:autoSpaceDE w:val="0"/>
        <w:autoSpaceDN w:val="0"/>
        <w:adjustRightInd w:val="0"/>
        <w:spacing w:before="120" w:after="120"/>
        <w:ind w:firstLine="709"/>
        <w:jc w:val="both"/>
      </w:pPr>
      <w:r w:rsidRPr="00621218">
        <w:t>La remunerazione de</w:t>
      </w:r>
      <w:r w:rsidR="008D3BF6" w:rsidRPr="00AB514A">
        <w:t>ll’amministratore delegato, Roberto Sco</w:t>
      </w:r>
      <w:r w:rsidR="000163A4" w:rsidRPr="00AB514A">
        <w:t>t</w:t>
      </w:r>
      <w:r w:rsidR="008D3BF6" w:rsidRPr="00AB514A">
        <w:t>ti,</w:t>
      </w:r>
      <w:r w:rsidR="008D3BF6">
        <w:t xml:space="preserve"> </w:t>
      </w:r>
      <w:r w:rsidR="00DF1BDC">
        <w:t xml:space="preserve">pur </w:t>
      </w:r>
      <w:r w:rsidR="006B00F1">
        <w:t>essendo anche a Lui applicabile l’ordine di considerazioni di cui sopra</w:t>
      </w:r>
      <w:r w:rsidR="00DF1BDC">
        <w:t xml:space="preserve">, </w:t>
      </w:r>
      <w:r w:rsidR="006268F4">
        <w:t xml:space="preserve">è più </w:t>
      </w:r>
      <w:r w:rsidR="00565F52">
        <w:t xml:space="preserve">marcatamente ispirata ai principi enunciati al </w:t>
      </w:r>
      <w:r w:rsidR="006B00F1">
        <w:t xml:space="preserve">precedente </w:t>
      </w:r>
      <w:r w:rsidR="00565F52">
        <w:t xml:space="preserve">paragrafo </w:t>
      </w:r>
      <w:r w:rsidR="006B00F1">
        <w:t>3</w:t>
      </w:r>
      <w:r w:rsidR="00565F52">
        <w:t xml:space="preserve">, </w:t>
      </w:r>
      <w:r w:rsidR="00BA0696">
        <w:t xml:space="preserve">che </w:t>
      </w:r>
      <w:r w:rsidR="00565F52">
        <w:t>si traducono nei seguenti criteri</w:t>
      </w:r>
      <w:r w:rsidR="006B00F1">
        <w:t xml:space="preserve"> applicativi</w:t>
      </w:r>
      <w:r w:rsidR="00565F52">
        <w:t>:</w:t>
      </w:r>
    </w:p>
    <w:p w:rsidR="00BA0696" w:rsidRDefault="00BA0696" w:rsidP="006268F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</w:pPr>
      <w:r>
        <w:t>il bilanciamento tra componente fissa e componente variabile;</w:t>
      </w:r>
    </w:p>
    <w:p w:rsidR="00BA0696" w:rsidRDefault="00BA0696" w:rsidP="006268F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</w:pPr>
      <w:r>
        <w:t>la determinazione di limiti assoluti alla componente variabile;</w:t>
      </w:r>
    </w:p>
    <w:p w:rsidR="00BA0696" w:rsidRPr="00175D30" w:rsidRDefault="00BA0696" w:rsidP="006268F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</w:pPr>
      <w:r>
        <w:t xml:space="preserve">l’adeguatezza della componente fissa, tale da costituire adeguata remunerazione anche per il caso in cui il mancato raggiungimento degli obiettivi non consenta di conseguire una </w:t>
      </w:r>
      <w:r w:rsidRPr="00175D30">
        <w:t>significativa componente variabile;</w:t>
      </w:r>
    </w:p>
    <w:p w:rsidR="00BA0696" w:rsidRPr="005B652B" w:rsidRDefault="00BA0696" w:rsidP="006268F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</w:pPr>
      <w:r w:rsidRPr="00D3619D">
        <w:t xml:space="preserve">gli obiettivi </w:t>
      </w:r>
      <w:r w:rsidR="0015553B">
        <w:t xml:space="preserve">di risultato </w:t>
      </w:r>
      <w:r w:rsidRPr="00D3619D">
        <w:t xml:space="preserve">cui è legata la remunerazione variabile </w:t>
      </w:r>
      <w:r w:rsidR="00457AE5">
        <w:t xml:space="preserve">sono </w:t>
      </w:r>
      <w:r w:rsidR="006268F4" w:rsidRPr="005B652B">
        <w:t xml:space="preserve">predeterminati, misurabili e collegati alla creazione di valore in un orizzonte di </w:t>
      </w:r>
      <w:r w:rsidR="00902CC6" w:rsidRPr="005B652B">
        <w:t>medio</w:t>
      </w:r>
      <w:r w:rsidR="00902CC6">
        <w:t>-</w:t>
      </w:r>
      <w:r w:rsidR="006268F4" w:rsidRPr="005B652B">
        <w:t>lungo periodo</w:t>
      </w:r>
      <w:r w:rsidR="001A1891">
        <w:t xml:space="preserve"> ed il riconoscimento degli incentivi è differito in corrispondenza al raggiungimento dei corrispondenti obiettivi</w:t>
      </w:r>
      <w:r w:rsidR="006268F4" w:rsidRPr="005B652B">
        <w:t>;</w:t>
      </w:r>
    </w:p>
    <w:p w:rsidR="006268F4" w:rsidRPr="008B0610" w:rsidRDefault="000A74F4" w:rsidP="006268F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</w:pPr>
      <w:r w:rsidRPr="0049117E">
        <w:t xml:space="preserve">non sono dovute </w:t>
      </w:r>
      <w:r w:rsidR="006268F4" w:rsidRPr="008B0610">
        <w:t>indennità per la cessazione anticipata del rapporto</w:t>
      </w:r>
      <w:r w:rsidR="002C161E" w:rsidRPr="008B0610">
        <w:t>.</w:t>
      </w:r>
    </w:p>
    <w:p w:rsidR="00902CC6" w:rsidRDefault="00902CC6" w:rsidP="00D8549B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17595F" w:rsidRPr="003C53D3" w:rsidRDefault="006268F4" w:rsidP="00D8549B">
      <w:pPr>
        <w:autoSpaceDE w:val="0"/>
        <w:autoSpaceDN w:val="0"/>
        <w:adjustRightInd w:val="0"/>
        <w:spacing w:before="120" w:after="120"/>
        <w:ind w:firstLine="709"/>
        <w:jc w:val="both"/>
      </w:pPr>
      <w:r>
        <w:t>In attuazione d</w:t>
      </w:r>
      <w:r w:rsidR="00902CC6">
        <w:t>e</w:t>
      </w:r>
      <w:r>
        <w:t xml:space="preserve">i </w:t>
      </w:r>
      <w:r w:rsidR="00902CC6">
        <w:t xml:space="preserve">richiamati </w:t>
      </w:r>
      <w:r>
        <w:t xml:space="preserve">criteri, la remunerazione </w:t>
      </w:r>
      <w:r w:rsidR="002C161E">
        <w:t xml:space="preserve">dell’Amministratore </w:t>
      </w:r>
      <w:r>
        <w:t>delegato</w:t>
      </w:r>
      <w:r w:rsidR="0017595F" w:rsidRPr="003C53D3">
        <w:t xml:space="preserve"> si compo</w:t>
      </w:r>
      <w:r w:rsidR="00E169EA">
        <w:t>ne</w:t>
      </w:r>
      <w:r w:rsidR="0017595F" w:rsidRPr="003C53D3">
        <w:t xml:space="preserve"> dei seguenti elementi:</w:t>
      </w:r>
    </w:p>
    <w:p w:rsidR="00B76192" w:rsidRPr="003457DA" w:rsidRDefault="0017595F" w:rsidP="00AC2E2B">
      <w:pPr>
        <w:tabs>
          <w:tab w:val="left" w:pos="426"/>
        </w:tabs>
        <w:autoSpaceDE w:val="0"/>
        <w:autoSpaceDN w:val="0"/>
        <w:adjustRightInd w:val="0"/>
        <w:spacing w:before="120" w:after="120"/>
        <w:ind w:left="357"/>
        <w:jc w:val="both"/>
      </w:pPr>
      <w:r w:rsidRPr="003457DA">
        <w:t>(a)</w:t>
      </w:r>
      <w:r w:rsidRPr="003457DA">
        <w:tab/>
      </w:r>
      <w:r w:rsidR="00E340FF" w:rsidRPr="003457DA">
        <w:t xml:space="preserve"> </w:t>
      </w:r>
      <w:r w:rsidRPr="003457DA">
        <w:t xml:space="preserve">una componente fissa annua lorda; </w:t>
      </w:r>
    </w:p>
    <w:p w:rsidR="00541B8B" w:rsidRPr="003457DA" w:rsidRDefault="00B76192" w:rsidP="00AC2E2B">
      <w:pPr>
        <w:tabs>
          <w:tab w:val="left" w:pos="709"/>
        </w:tabs>
        <w:autoSpaceDE w:val="0"/>
        <w:autoSpaceDN w:val="0"/>
        <w:adjustRightInd w:val="0"/>
        <w:spacing w:before="120" w:after="120"/>
        <w:ind w:left="284"/>
        <w:jc w:val="both"/>
      </w:pPr>
      <w:r w:rsidRPr="003457DA">
        <w:t xml:space="preserve"> </w:t>
      </w:r>
      <w:r w:rsidR="000163A4" w:rsidRPr="003457DA">
        <w:t>(b)</w:t>
      </w:r>
      <w:r w:rsidR="00E340FF" w:rsidRPr="003457DA">
        <w:t xml:space="preserve"> </w:t>
      </w:r>
      <w:r w:rsidR="0017595F" w:rsidRPr="003457DA">
        <w:t xml:space="preserve">una componente variabile legata ad obiettivi </w:t>
      </w:r>
      <w:r w:rsidR="00541B8B" w:rsidRPr="003457DA">
        <w:t xml:space="preserve">di periodo, </w:t>
      </w:r>
      <w:r w:rsidR="0017595F" w:rsidRPr="003457DA">
        <w:t xml:space="preserve">predeterminati, misurabili e </w:t>
      </w:r>
      <w:r w:rsidRPr="003457DA">
        <w:t xml:space="preserve">     </w:t>
      </w:r>
      <w:r w:rsidR="00727EE3" w:rsidRPr="003457DA">
        <w:tab/>
      </w:r>
      <w:r w:rsidR="0017595F" w:rsidRPr="003457DA">
        <w:t xml:space="preserve">collegati alla creazione di valore per gli </w:t>
      </w:r>
      <w:r w:rsidR="000E533C" w:rsidRPr="003457DA">
        <w:t>A</w:t>
      </w:r>
      <w:r w:rsidR="0017595F" w:rsidRPr="003457DA">
        <w:t>zionisti</w:t>
      </w:r>
      <w:r w:rsidR="00541B8B" w:rsidRPr="003457DA">
        <w:t>;</w:t>
      </w:r>
      <w:r w:rsidR="0017595F" w:rsidRPr="003457DA">
        <w:t xml:space="preserve"> </w:t>
      </w:r>
    </w:p>
    <w:p w:rsidR="00DF1BDC" w:rsidRPr="003457DA" w:rsidRDefault="00DF1BDC" w:rsidP="00AC2E2B">
      <w:pPr>
        <w:autoSpaceDE w:val="0"/>
        <w:autoSpaceDN w:val="0"/>
        <w:adjustRightInd w:val="0"/>
        <w:spacing w:before="120" w:after="120"/>
        <w:ind w:left="357"/>
        <w:jc w:val="both"/>
      </w:pPr>
      <w:r w:rsidRPr="003457DA">
        <w:t>(</w:t>
      </w:r>
      <w:r w:rsidR="00541B8B" w:rsidRPr="003457DA">
        <w:t>c) una componen</w:t>
      </w:r>
      <w:r w:rsidR="000163A4" w:rsidRPr="003457DA">
        <w:t>te variabile commisurata</w:t>
      </w:r>
      <w:r w:rsidR="00541B8B" w:rsidRPr="003457DA">
        <w:t xml:space="preserve"> ad obiettivi di medio-lungo periodo</w:t>
      </w:r>
      <w:r w:rsidR="00E340FF" w:rsidRPr="003457DA">
        <w:t xml:space="preserve">, individuati e </w:t>
      </w:r>
      <w:r w:rsidR="00727EE3" w:rsidRPr="003457DA">
        <w:tab/>
      </w:r>
      <w:r w:rsidR="00E340FF" w:rsidRPr="003457DA">
        <w:t>quantificati su base temporale triennale</w:t>
      </w:r>
      <w:r w:rsidRPr="003457DA">
        <w:t>;</w:t>
      </w:r>
    </w:p>
    <w:p w:rsidR="00541B8B" w:rsidRPr="005B652B" w:rsidRDefault="00DF1BDC" w:rsidP="00AC2E2B">
      <w:pPr>
        <w:autoSpaceDE w:val="0"/>
        <w:autoSpaceDN w:val="0"/>
        <w:adjustRightInd w:val="0"/>
        <w:spacing w:before="120" w:after="120"/>
        <w:ind w:left="357"/>
        <w:jc w:val="both"/>
      </w:pPr>
      <w:r w:rsidRPr="003457DA">
        <w:t>(d) eventuali compensi straordinari.</w:t>
      </w:r>
    </w:p>
    <w:p w:rsidR="00250E45" w:rsidRDefault="00250E45" w:rsidP="00250E45">
      <w:pPr>
        <w:spacing w:before="120" w:after="120"/>
        <w:ind w:firstLine="709"/>
        <w:jc w:val="both"/>
      </w:pPr>
      <w:r>
        <w:t xml:space="preserve">La componente sub (a) della remunerazione, comune ad entrambi gli Amministratori esecutivi, è stabilita in relazione al profilo professionale di ciascuno, tenuto conto del particolare ruolo di </w:t>
      </w:r>
      <w:r w:rsidRPr="00345647">
        <w:rPr>
          <w:i/>
        </w:rPr>
        <w:t>risk taker</w:t>
      </w:r>
      <w:r>
        <w:t xml:space="preserve"> che il rispettivo ruolo comporta.</w:t>
      </w:r>
    </w:p>
    <w:p w:rsidR="000163A4" w:rsidRPr="005B652B" w:rsidRDefault="00541B8B" w:rsidP="00250E45">
      <w:pPr>
        <w:spacing w:before="120" w:after="120"/>
        <w:ind w:firstLine="709"/>
        <w:jc w:val="both"/>
      </w:pPr>
      <w:r w:rsidRPr="005B652B">
        <w:t>Nella determinazione della componente (b)</w:t>
      </w:r>
      <w:r w:rsidR="009423E6" w:rsidRPr="005B652B">
        <w:t xml:space="preserve"> si assumono quali indicatori</w:t>
      </w:r>
      <w:r w:rsidRPr="005B652B">
        <w:t xml:space="preserve"> di risultato </w:t>
      </w:r>
      <w:r w:rsidR="004F15B2" w:rsidRPr="005B652B">
        <w:t xml:space="preserve">il fatturato e </w:t>
      </w:r>
      <w:r w:rsidR="000163A4" w:rsidRPr="005B652B">
        <w:t>l’</w:t>
      </w:r>
      <w:r w:rsidR="00B76192" w:rsidRPr="005B652B">
        <w:rPr>
          <w:i/>
        </w:rPr>
        <w:t>Ebitda</w:t>
      </w:r>
      <w:r w:rsidRPr="005B652B">
        <w:rPr>
          <w:i/>
        </w:rPr>
        <w:t xml:space="preserve"> margin</w:t>
      </w:r>
      <w:r w:rsidRPr="005B652B">
        <w:t xml:space="preserve"> c</w:t>
      </w:r>
      <w:r w:rsidR="009423E6" w:rsidRPr="005B652B">
        <w:t>onsolidati</w:t>
      </w:r>
      <w:r w:rsidRPr="005B652B">
        <w:t xml:space="preserve">; a diverse soglie qualificanti di </w:t>
      </w:r>
      <w:r w:rsidR="009423E6" w:rsidRPr="005B652B">
        <w:t xml:space="preserve">questi indicatori </w:t>
      </w:r>
      <w:r w:rsidRPr="005B652B">
        <w:t xml:space="preserve">si accompagnano livelli d’incentivazione progressivi.  </w:t>
      </w:r>
    </w:p>
    <w:p w:rsidR="00541B8B" w:rsidRPr="008320AB" w:rsidRDefault="000163A4">
      <w:pPr>
        <w:spacing w:before="120" w:after="120"/>
        <w:ind w:firstLine="709"/>
        <w:jc w:val="both"/>
        <w:rPr>
          <w:b/>
        </w:rPr>
      </w:pPr>
      <w:r w:rsidRPr="005B652B">
        <w:t>Quanto alla componente (c)</w:t>
      </w:r>
      <w:r w:rsidR="000C292D" w:rsidRPr="005B652B">
        <w:t xml:space="preserve">, </w:t>
      </w:r>
      <w:r w:rsidR="007C079A" w:rsidRPr="005B652B">
        <w:t xml:space="preserve">è stabilito che </w:t>
      </w:r>
      <w:r w:rsidR="004F15B2" w:rsidRPr="005B652B">
        <w:t>l’intensità</w:t>
      </w:r>
      <w:r w:rsidR="000C292D" w:rsidRPr="005B652B">
        <w:t xml:space="preserve"> dell’incent</w:t>
      </w:r>
      <w:r w:rsidR="004F15B2" w:rsidRPr="005B652B">
        <w:t xml:space="preserve">ivazione descritta </w:t>
      </w:r>
      <w:r w:rsidR="007C079A" w:rsidRPr="005B652B">
        <w:t xml:space="preserve">alla </w:t>
      </w:r>
      <w:r w:rsidR="007C079A" w:rsidRPr="008320AB">
        <w:t>precedente lettera</w:t>
      </w:r>
      <w:r w:rsidR="001B3E44" w:rsidRPr="008320AB">
        <w:t>, legata ad u</w:t>
      </w:r>
      <w:r w:rsidR="001B3E44" w:rsidRPr="00244B85">
        <w:t>n diverso profilo temporale delle medesime variabili,</w:t>
      </w:r>
      <w:r w:rsidR="007C079A" w:rsidRPr="00244B85">
        <w:t xml:space="preserve"> </w:t>
      </w:r>
      <w:r w:rsidR="004F15B2" w:rsidRPr="00A0519D">
        <w:t>viene applicat</w:t>
      </w:r>
      <w:r w:rsidR="000C292D" w:rsidRPr="005A2060">
        <w:t>a in modo progressivo</w:t>
      </w:r>
      <w:r w:rsidR="005C7274" w:rsidRPr="005A2060">
        <w:t>,</w:t>
      </w:r>
      <w:r w:rsidR="000C292D" w:rsidRPr="001A1891">
        <w:t xml:space="preserve"> in un’ottica di medio-lungo periodo</w:t>
      </w:r>
      <w:r w:rsidR="004F15B2" w:rsidRPr="001A1891">
        <w:t xml:space="preserve">, </w:t>
      </w:r>
      <w:r w:rsidR="005C7274" w:rsidRPr="001A1891">
        <w:t xml:space="preserve">su un arco temporale triennale, </w:t>
      </w:r>
      <w:r w:rsidR="004F62EF" w:rsidRPr="001A1891">
        <w:t xml:space="preserve">in conformità alle logiche sottese al </w:t>
      </w:r>
      <w:r w:rsidR="000C292D" w:rsidRPr="001A1891">
        <w:t>Codice</w:t>
      </w:r>
      <w:r w:rsidR="004F15B2" w:rsidRPr="001A1891">
        <w:t xml:space="preserve">. </w:t>
      </w:r>
      <w:r w:rsidR="0088743F" w:rsidRPr="0049117E">
        <w:t>Le variabili interessate dall’incentivo di medio – lungo termine sono il fatturato e l’EBITDA in progressione triennale.</w:t>
      </w:r>
    </w:p>
    <w:p w:rsidR="00FE5CFA" w:rsidRPr="000A07D1" w:rsidRDefault="00FE5CFA" w:rsidP="005B652B">
      <w:pPr>
        <w:spacing w:before="120" w:after="120"/>
        <w:ind w:firstLine="708"/>
        <w:jc w:val="both"/>
      </w:pPr>
      <w:r w:rsidRPr="00244B85">
        <w:t xml:space="preserve">La componente (d) della remunerazione </w:t>
      </w:r>
      <w:r w:rsidR="00AD67CB" w:rsidRPr="00A0519D">
        <w:t xml:space="preserve">viene stabilita dal </w:t>
      </w:r>
      <w:r w:rsidR="000E533C" w:rsidRPr="005A2060">
        <w:t>C</w:t>
      </w:r>
      <w:r w:rsidR="00AD67CB" w:rsidRPr="005A2060">
        <w:t xml:space="preserve">onsiglio di amministrazione in relazione a </w:t>
      </w:r>
      <w:r w:rsidR="004C7F14" w:rsidRPr="005A2060">
        <w:t>fatti eccezionali ed imprevisti</w:t>
      </w:r>
      <w:r w:rsidR="00AD67CB" w:rsidRPr="001A1891">
        <w:t xml:space="preserve">, </w:t>
      </w:r>
      <w:r w:rsidR="00175D30" w:rsidRPr="001A1891">
        <w:t xml:space="preserve">per i quali </w:t>
      </w:r>
      <w:r w:rsidR="00AD67CB" w:rsidRPr="001A1891">
        <w:t xml:space="preserve">si ritiene che </w:t>
      </w:r>
      <w:r w:rsidR="004C7F14" w:rsidRPr="001A1891">
        <w:t>gl</w:t>
      </w:r>
      <w:r w:rsidR="00AD67CB" w:rsidRPr="001A1891">
        <w:t xml:space="preserve">i </w:t>
      </w:r>
      <w:r w:rsidR="004C7F14" w:rsidRPr="001A1891">
        <w:t xml:space="preserve">altri </w:t>
      </w:r>
      <w:r w:rsidR="00AD67CB" w:rsidRPr="001A1891">
        <w:t>meccanismi sopra</w:t>
      </w:r>
      <w:r w:rsidR="00AD67CB" w:rsidRPr="000A07D1">
        <w:t xml:space="preserve"> descritti non corrispondano pienamente ed adeguatamente alle finalità incentivanti prefissate.</w:t>
      </w:r>
    </w:p>
    <w:p w:rsidR="0015553B" w:rsidRDefault="004C7F14" w:rsidP="00D8549B">
      <w:pPr>
        <w:spacing w:before="120" w:after="120"/>
        <w:ind w:firstLine="708"/>
        <w:jc w:val="both"/>
        <w:rPr>
          <w:b/>
        </w:rPr>
      </w:pPr>
      <w:r w:rsidRPr="000A07D1">
        <w:t>Nel corso dell’esercizio 201</w:t>
      </w:r>
      <w:r w:rsidR="007355AE">
        <w:t>4</w:t>
      </w:r>
      <w:r w:rsidRPr="000A07D1">
        <w:t xml:space="preserve"> </w:t>
      </w:r>
      <w:r w:rsidR="007355AE">
        <w:t xml:space="preserve">non </w:t>
      </w:r>
      <w:r w:rsidR="00E608DF" w:rsidRPr="000A07D1">
        <w:t xml:space="preserve">si sono verificati </w:t>
      </w:r>
      <w:r w:rsidRPr="000A07D1">
        <w:t xml:space="preserve">fatti eccezionali </w:t>
      </w:r>
      <w:r w:rsidR="00E608DF" w:rsidRPr="000A07D1">
        <w:t xml:space="preserve">che </w:t>
      </w:r>
      <w:r w:rsidR="0015553B">
        <w:t>abbiano</w:t>
      </w:r>
      <w:r w:rsidR="0015553B" w:rsidRPr="000A07D1">
        <w:t xml:space="preserve"> </w:t>
      </w:r>
      <w:r w:rsidR="00E608DF" w:rsidRPr="000A07D1">
        <w:t xml:space="preserve">suggerito la </w:t>
      </w:r>
      <w:r w:rsidR="00E608DF" w:rsidRPr="008320AB">
        <w:t xml:space="preserve">determinazione di </w:t>
      </w:r>
      <w:r w:rsidR="00175D30" w:rsidRPr="008320AB">
        <w:t>un compenso</w:t>
      </w:r>
      <w:r w:rsidR="00E608DF" w:rsidRPr="00244B85">
        <w:t xml:space="preserve"> straordinari</w:t>
      </w:r>
      <w:r w:rsidR="00175D30" w:rsidRPr="00244B85">
        <w:t xml:space="preserve">o </w:t>
      </w:r>
      <w:r w:rsidR="00DB42E1" w:rsidRPr="00A0519D">
        <w:t>all’Am</w:t>
      </w:r>
      <w:r w:rsidR="00DB42E1" w:rsidRPr="005A2060">
        <w:t xml:space="preserve">ministratore </w:t>
      </w:r>
      <w:r w:rsidR="00175D30" w:rsidRPr="005A2060">
        <w:t>delegato</w:t>
      </w:r>
      <w:r w:rsidR="0015553B">
        <w:t xml:space="preserve">. </w:t>
      </w:r>
      <w:r w:rsidR="000A07D1" w:rsidRPr="005A2060">
        <w:t>Si sottolinea che, in</w:t>
      </w:r>
      <w:r w:rsidR="00712B93" w:rsidRPr="005A2060">
        <w:t xml:space="preserve"> caso di risoluzione </w:t>
      </w:r>
      <w:r w:rsidR="006268F4" w:rsidRPr="0015553B">
        <w:t xml:space="preserve">anticipata </w:t>
      </w:r>
      <w:r w:rsidR="00712B93" w:rsidRPr="0015553B">
        <w:t>del rapporto di lavoro in corso d’anno</w:t>
      </w:r>
      <w:r w:rsidR="000A07D1" w:rsidRPr="0015553B">
        <w:t>,</w:t>
      </w:r>
      <w:r w:rsidR="00712B93" w:rsidRPr="0015553B">
        <w:t xml:space="preserve"> </w:t>
      </w:r>
      <w:r w:rsidR="004F15B2" w:rsidRPr="0015553B">
        <w:t>gli incentivi non ve</w:t>
      </w:r>
      <w:r w:rsidR="00175D30" w:rsidRPr="0015553B">
        <w:t>ngono riconosciuti</w:t>
      </w:r>
      <w:r w:rsidR="00712B93" w:rsidRPr="0015553B">
        <w:t>.</w:t>
      </w:r>
    </w:p>
    <w:p w:rsidR="0015553B" w:rsidRPr="0015553B" w:rsidRDefault="00BA01D6" w:rsidP="0015553B">
      <w:pPr>
        <w:spacing w:before="120" w:after="120"/>
        <w:ind w:firstLine="708"/>
        <w:jc w:val="both"/>
        <w:rPr>
          <w:b/>
        </w:rPr>
      </w:pPr>
      <w:r w:rsidRPr="0049117E">
        <w:t>Per l’Amministratore delegato, così come per il Presidente del Consiglio di amministrazione</w:t>
      </w:r>
      <w:r w:rsidR="004254A7" w:rsidRPr="0049117E">
        <w:t xml:space="preserve">, anch’Egli esecutivo, </w:t>
      </w:r>
      <w:r w:rsidRPr="0049117E">
        <w:t>non sono previsti benefici non monetari.</w:t>
      </w:r>
      <w:r w:rsidR="0015553B" w:rsidRPr="0015553B">
        <w:rPr>
          <w:b/>
        </w:rPr>
        <w:t xml:space="preserve"> </w:t>
      </w:r>
      <w:r w:rsidR="00EA7E21">
        <w:rPr>
          <w:b/>
        </w:rPr>
        <w:t>Come espressamente confermato al successivo paragrafo 7, p</w:t>
      </w:r>
      <w:r w:rsidR="0015553B">
        <w:rPr>
          <w:b/>
        </w:rPr>
        <w:t>er nessuno degli Amministratori esecutivi sono previsti piani di incentivazione basati su azioni</w:t>
      </w:r>
      <w:r w:rsidR="00EA7E21">
        <w:rPr>
          <w:b/>
        </w:rPr>
        <w:t>, né sull’assegnazione di altri strumenti finanziari</w:t>
      </w:r>
      <w:r w:rsidR="0015553B">
        <w:rPr>
          <w:b/>
        </w:rPr>
        <w:t>.</w:t>
      </w:r>
    </w:p>
    <w:p w:rsidR="009F2E72" w:rsidRPr="00A0519D" w:rsidRDefault="009F2E72" w:rsidP="00D8549B">
      <w:pPr>
        <w:spacing w:before="120" w:after="120"/>
        <w:ind w:firstLine="708"/>
        <w:jc w:val="both"/>
        <w:rPr>
          <w:b/>
        </w:rPr>
      </w:pPr>
    </w:p>
    <w:p w:rsidR="00817993" w:rsidRPr="008320AB" w:rsidRDefault="00817993" w:rsidP="00B77ABC">
      <w:pPr>
        <w:autoSpaceDE w:val="0"/>
        <w:autoSpaceDN w:val="0"/>
        <w:adjustRightInd w:val="0"/>
        <w:spacing w:before="120" w:after="120"/>
        <w:jc w:val="both"/>
      </w:pPr>
      <w:r w:rsidRPr="008320AB">
        <w:rPr>
          <w:b/>
          <w:i/>
        </w:rPr>
        <w:t>4.2</w:t>
      </w:r>
      <w:r w:rsidRPr="008320AB">
        <w:rPr>
          <w:b/>
          <w:i/>
        </w:rPr>
        <w:tab/>
        <w:t>La remunerazione degli amministratori non esecutivi</w:t>
      </w:r>
      <w:r w:rsidR="00375F08" w:rsidRPr="008320AB">
        <w:rPr>
          <w:b/>
          <w:i/>
        </w:rPr>
        <w:t xml:space="preserve"> </w:t>
      </w:r>
    </w:p>
    <w:p w:rsidR="00375F08" w:rsidRPr="005B652B" w:rsidRDefault="00375F08" w:rsidP="00D8549B">
      <w:pPr>
        <w:spacing w:before="120" w:after="120"/>
        <w:ind w:firstLine="708"/>
        <w:jc w:val="both"/>
      </w:pPr>
      <w:r w:rsidRPr="008320AB">
        <w:t xml:space="preserve">Alla luce di quanto raccomandato dal Codice, la remunerazione degli </w:t>
      </w:r>
      <w:r w:rsidR="007C079A" w:rsidRPr="008320AB">
        <w:t xml:space="preserve">Amministratori </w:t>
      </w:r>
      <w:r w:rsidRPr="008320AB">
        <w:t>non esecutivi non è legata ai risultati economici conseguiti dalla Società e/o dal Gruppo.</w:t>
      </w:r>
    </w:p>
    <w:p w:rsidR="004F15B2" w:rsidRDefault="00375F08" w:rsidP="00D8549B">
      <w:pPr>
        <w:autoSpaceDE w:val="0"/>
        <w:autoSpaceDN w:val="0"/>
        <w:adjustRightInd w:val="0"/>
        <w:spacing w:before="120" w:after="120"/>
        <w:ind w:firstLine="708"/>
        <w:jc w:val="both"/>
      </w:pPr>
      <w:r w:rsidRPr="005B652B">
        <w:t xml:space="preserve">La remunerazione degli </w:t>
      </w:r>
      <w:r w:rsidR="007C079A" w:rsidRPr="005B652B">
        <w:t xml:space="preserve">Amministratori </w:t>
      </w:r>
      <w:r w:rsidRPr="005B652B">
        <w:t>non esecutivi è rappresentata esclusivamente da una componente fissa, deliberata</w:t>
      </w:r>
      <w:r w:rsidR="004F15B2" w:rsidRPr="005B652B">
        <w:t xml:space="preserve"> dal Consiglio di Amministrazione, sentito il parere del Collegio Sindacale</w:t>
      </w:r>
      <w:r w:rsidR="0015553B">
        <w:t>,</w:t>
      </w:r>
      <w:r w:rsidR="0015553B" w:rsidRPr="0015553B">
        <w:t xml:space="preserve"> </w:t>
      </w:r>
      <w:r w:rsidR="0015553B" w:rsidRPr="005B652B">
        <w:t>entro il limite massimo stabilito dall’Assemblea ordinaria degli Azionisti</w:t>
      </w:r>
      <w:r w:rsidR="004F15B2" w:rsidRPr="005B652B">
        <w:t>.</w:t>
      </w:r>
    </w:p>
    <w:p w:rsidR="00E771E3" w:rsidRDefault="00E771E3" w:rsidP="00F6600D">
      <w:pPr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p w:rsidR="00F6600D" w:rsidRDefault="00596ADD" w:rsidP="00F6600D">
      <w:pPr>
        <w:autoSpaceDE w:val="0"/>
        <w:autoSpaceDN w:val="0"/>
        <w:adjustRightInd w:val="0"/>
        <w:spacing w:before="120" w:after="120"/>
        <w:jc w:val="both"/>
        <w:rPr>
          <w:b/>
          <w:i/>
        </w:rPr>
      </w:pPr>
      <w:r>
        <w:rPr>
          <w:b/>
          <w:i/>
        </w:rPr>
        <w:t>4.3</w:t>
      </w:r>
      <w:r w:rsidR="00F6600D">
        <w:rPr>
          <w:b/>
          <w:i/>
        </w:rPr>
        <w:tab/>
        <w:t>I compensi  del Collegio Sindacale</w:t>
      </w:r>
    </w:p>
    <w:p w:rsidR="00F6600D" w:rsidRDefault="00F6600D" w:rsidP="00D8549B">
      <w:pPr>
        <w:autoSpaceDE w:val="0"/>
        <w:autoSpaceDN w:val="0"/>
        <w:adjustRightInd w:val="0"/>
        <w:spacing w:before="120" w:after="120"/>
        <w:ind w:firstLine="708"/>
        <w:jc w:val="both"/>
      </w:pPr>
      <w:r>
        <w:t>I compensi del Collegio Sindacale sono stabiliti dall’Assemblea degli Azionisti in sede di nomina, per l’intero periodo di durata dell’ufficio.</w:t>
      </w:r>
    </w:p>
    <w:p w:rsidR="0065202E" w:rsidRDefault="0065202E" w:rsidP="00F6600D">
      <w:pPr>
        <w:autoSpaceDE w:val="0"/>
        <w:autoSpaceDN w:val="0"/>
        <w:adjustRightInd w:val="0"/>
        <w:spacing w:before="120" w:after="120"/>
        <w:jc w:val="both"/>
      </w:pPr>
    </w:p>
    <w:p w:rsidR="001930E1" w:rsidRPr="00621218" w:rsidRDefault="001930E1" w:rsidP="001930E1">
      <w:pPr>
        <w:spacing w:before="120" w:after="120"/>
        <w:jc w:val="both"/>
        <w:rPr>
          <w:b/>
        </w:rPr>
      </w:pPr>
      <w:r w:rsidRPr="00621218">
        <w:rPr>
          <w:b/>
        </w:rPr>
        <w:t>5.</w:t>
      </w:r>
      <w:r w:rsidRPr="00621218">
        <w:rPr>
          <w:b/>
        </w:rPr>
        <w:tab/>
        <w:t>Politica seguita con riguardo ai benefici non monetari</w:t>
      </w:r>
    </w:p>
    <w:p w:rsidR="0062642F" w:rsidRDefault="0073577C" w:rsidP="00D8549B">
      <w:pPr>
        <w:spacing w:before="120" w:after="120"/>
        <w:ind w:firstLine="708"/>
        <w:jc w:val="both"/>
      </w:pPr>
      <w:r w:rsidRPr="00AB514A">
        <w:t>La</w:t>
      </w:r>
      <w:r w:rsidR="001930E1" w:rsidRPr="00AB514A">
        <w:t xml:space="preserve"> Politica di Remunerazione </w:t>
      </w:r>
      <w:r w:rsidRPr="00AB514A">
        <w:t xml:space="preserve">della Società </w:t>
      </w:r>
      <w:r w:rsidR="00596ADD">
        <w:t xml:space="preserve">non </w:t>
      </w:r>
      <w:r w:rsidRPr="00AB514A">
        <w:t xml:space="preserve">prevede </w:t>
      </w:r>
      <w:r w:rsidR="001930E1" w:rsidRPr="00AB514A">
        <w:t>benefici non monetari</w:t>
      </w:r>
      <w:r w:rsidR="00712B93" w:rsidRPr="00AB514A">
        <w:t xml:space="preserve"> </w:t>
      </w:r>
      <w:r w:rsidR="00596ADD">
        <w:t xml:space="preserve">in favore degli </w:t>
      </w:r>
      <w:r w:rsidR="00B34D3C">
        <w:t xml:space="preserve">Amministratori </w:t>
      </w:r>
      <w:r w:rsidR="00527EA2">
        <w:t xml:space="preserve">e dei </w:t>
      </w:r>
      <w:r w:rsidR="00B34D3C">
        <w:t>Sindaci</w:t>
      </w:r>
      <w:r w:rsidR="00596ADD">
        <w:t xml:space="preserve">. </w:t>
      </w:r>
    </w:p>
    <w:p w:rsidR="0062642F" w:rsidRDefault="0062642F" w:rsidP="001930E1">
      <w:pPr>
        <w:spacing w:before="120" w:after="120"/>
        <w:jc w:val="both"/>
      </w:pPr>
    </w:p>
    <w:p w:rsidR="002E2BB1" w:rsidRPr="00081D86" w:rsidRDefault="002E2BB1" w:rsidP="002E2BB1">
      <w:pPr>
        <w:spacing w:before="120" w:after="120"/>
        <w:jc w:val="both"/>
        <w:rPr>
          <w:b/>
        </w:rPr>
      </w:pPr>
      <w:r w:rsidRPr="00081D86">
        <w:rPr>
          <w:b/>
        </w:rPr>
        <w:t>6.</w:t>
      </w:r>
      <w:r w:rsidRPr="00081D86">
        <w:rPr>
          <w:b/>
        </w:rPr>
        <w:tab/>
        <w:t xml:space="preserve">Termini di maturazione dei diritti (cd. </w:t>
      </w:r>
      <w:r w:rsidRPr="00081D86">
        <w:rPr>
          <w:b/>
          <w:i/>
        </w:rPr>
        <w:t>vesting period</w:t>
      </w:r>
      <w:r w:rsidRPr="00081D86">
        <w:rPr>
          <w:b/>
        </w:rPr>
        <w:t xml:space="preserve">), eventuali sistemi di pagamento </w:t>
      </w:r>
      <w:r w:rsidR="00F6600D">
        <w:rPr>
          <w:b/>
        </w:rPr>
        <w:tab/>
      </w:r>
      <w:r w:rsidRPr="00081D86">
        <w:rPr>
          <w:b/>
        </w:rPr>
        <w:t xml:space="preserve">differito, con indicazione dei periodi di differimento e dei criteri utilizzati per la </w:t>
      </w:r>
      <w:r w:rsidR="00F6600D">
        <w:rPr>
          <w:b/>
        </w:rPr>
        <w:tab/>
      </w:r>
      <w:r w:rsidRPr="00081D86">
        <w:rPr>
          <w:b/>
        </w:rPr>
        <w:t xml:space="preserve">determinazione di tali periodi e, se previsti, i meccanismi di correzione </w:t>
      </w:r>
      <w:r w:rsidRPr="00081D86">
        <w:rPr>
          <w:b/>
          <w:i/>
        </w:rPr>
        <w:t>ex post</w:t>
      </w:r>
    </w:p>
    <w:p w:rsidR="002E2BB1" w:rsidRPr="003C53D3" w:rsidRDefault="002E2BB1" w:rsidP="00D8549B">
      <w:pPr>
        <w:spacing w:before="120" w:after="120"/>
        <w:ind w:firstLine="708"/>
        <w:jc w:val="both"/>
      </w:pPr>
      <w:r w:rsidRPr="00061B64">
        <w:t xml:space="preserve">Alla data della presente Relazione, la Società ha </w:t>
      </w:r>
      <w:r w:rsidR="008731D7">
        <w:t>stabilito</w:t>
      </w:r>
      <w:r w:rsidR="008731D7" w:rsidRPr="00061B64">
        <w:t xml:space="preserve"> </w:t>
      </w:r>
      <w:r w:rsidRPr="00061B64">
        <w:t xml:space="preserve">una </w:t>
      </w:r>
      <w:r w:rsidR="008731D7">
        <w:t>p</w:t>
      </w:r>
      <w:r w:rsidR="008731D7" w:rsidRPr="00061B64">
        <w:t xml:space="preserve">olitica </w:t>
      </w:r>
      <w:r w:rsidRPr="00061B64">
        <w:t xml:space="preserve">di </w:t>
      </w:r>
      <w:r w:rsidR="008731D7">
        <w:t>r</w:t>
      </w:r>
      <w:r w:rsidR="008731D7" w:rsidRPr="00061B64">
        <w:t xml:space="preserve">emunerazione </w:t>
      </w:r>
      <w:r w:rsidRPr="00061B64">
        <w:t xml:space="preserve">che </w:t>
      </w:r>
      <w:r w:rsidR="00503132" w:rsidRPr="00061B64">
        <w:t xml:space="preserve">non </w:t>
      </w:r>
      <w:r w:rsidRPr="00061B64">
        <w:t>preved</w:t>
      </w:r>
      <w:r w:rsidR="00503132" w:rsidRPr="00061B64">
        <w:t>e</w:t>
      </w:r>
      <w:r w:rsidRPr="00061B64">
        <w:t xml:space="preserve"> termini </w:t>
      </w:r>
      <w:r w:rsidR="0073577C">
        <w:t xml:space="preserve">differiti </w:t>
      </w:r>
      <w:r w:rsidRPr="00061B64">
        <w:t xml:space="preserve">di maturazione dei diritti (cd. </w:t>
      </w:r>
      <w:r w:rsidRPr="00061B64">
        <w:rPr>
          <w:i/>
        </w:rPr>
        <w:t>vesting period</w:t>
      </w:r>
      <w:r w:rsidRPr="00061B64">
        <w:t xml:space="preserve">), </w:t>
      </w:r>
      <w:r w:rsidR="0073577C">
        <w:t xml:space="preserve">né </w:t>
      </w:r>
      <w:r w:rsidRPr="00061B64">
        <w:t>sistemi di pagamento differito</w:t>
      </w:r>
      <w:r w:rsidR="0073577C">
        <w:t>, né</w:t>
      </w:r>
      <w:r w:rsidRPr="00061B64">
        <w:t xml:space="preserve"> meccanismi di correzione </w:t>
      </w:r>
      <w:r w:rsidRPr="00061B64">
        <w:rPr>
          <w:i/>
        </w:rPr>
        <w:t>ex post</w:t>
      </w:r>
      <w:r w:rsidR="0073577C" w:rsidRPr="00A26C33">
        <w:t>.</w:t>
      </w:r>
    </w:p>
    <w:p w:rsidR="001930E1" w:rsidRDefault="0027044A" w:rsidP="00D8549B">
      <w:pPr>
        <w:spacing w:before="120" w:after="120"/>
        <w:ind w:firstLine="708"/>
        <w:jc w:val="both"/>
      </w:pPr>
      <w:r>
        <w:t>Lo stimolo per lo stabile e progressivo impegno alla ricerca dei risultati viene invece fornito</w:t>
      </w:r>
      <w:r w:rsidR="00527EA2">
        <w:t xml:space="preserve"> </w:t>
      </w:r>
      <w:r w:rsidR="00102BA6">
        <w:t xml:space="preserve">all’Amministratore </w:t>
      </w:r>
      <w:r w:rsidR="00527EA2">
        <w:t>delegato</w:t>
      </w:r>
      <w:r>
        <w:t xml:space="preserve"> dal </w:t>
      </w:r>
      <w:r w:rsidR="00E771E3">
        <w:t>meccanismo di cumulo di obiettivi e di premio</w:t>
      </w:r>
      <w:r>
        <w:t>, che</w:t>
      </w:r>
      <w:r w:rsidR="00102BA6">
        <w:t>, al raggiungimento dei risultati,</w:t>
      </w:r>
      <w:r>
        <w:t xml:space="preserve"> è</w:t>
      </w:r>
      <w:r w:rsidR="00E771E3">
        <w:t xml:space="preserve"> amplificato in un orizzonte temporale triennale.</w:t>
      </w:r>
    </w:p>
    <w:p w:rsidR="00B36C18" w:rsidRDefault="00B36C18" w:rsidP="001930E1">
      <w:pPr>
        <w:spacing w:before="120" w:after="120"/>
        <w:jc w:val="both"/>
      </w:pPr>
    </w:p>
    <w:p w:rsidR="001930E1" w:rsidRPr="00081D86" w:rsidRDefault="002E2BB1" w:rsidP="001930E1">
      <w:pPr>
        <w:spacing w:before="120" w:after="120"/>
        <w:jc w:val="both"/>
        <w:rPr>
          <w:b/>
        </w:rPr>
      </w:pPr>
      <w:r w:rsidRPr="00081D86">
        <w:rPr>
          <w:b/>
        </w:rPr>
        <w:t>7</w:t>
      </w:r>
      <w:r w:rsidR="001930E1" w:rsidRPr="00081D86">
        <w:rPr>
          <w:b/>
        </w:rPr>
        <w:t>.</w:t>
      </w:r>
      <w:r w:rsidR="001930E1" w:rsidRPr="00081D86">
        <w:rPr>
          <w:b/>
        </w:rPr>
        <w:tab/>
        <w:t xml:space="preserve">Informazioni sulla eventuale previsione di clausole per il mantenimento in portafoglio </w:t>
      </w:r>
      <w:r w:rsidR="00F6600D">
        <w:rPr>
          <w:b/>
        </w:rPr>
        <w:tab/>
      </w:r>
      <w:r w:rsidR="001930E1" w:rsidRPr="00081D86">
        <w:rPr>
          <w:b/>
        </w:rPr>
        <w:t xml:space="preserve">degli strumenti finanziari dopo la loro acquisizione, con indicazione dei periodi di </w:t>
      </w:r>
      <w:r w:rsidR="00F6600D">
        <w:rPr>
          <w:b/>
        </w:rPr>
        <w:tab/>
      </w:r>
      <w:r w:rsidR="001930E1" w:rsidRPr="00081D86">
        <w:rPr>
          <w:b/>
        </w:rPr>
        <w:t>mantenimento e dei criteri utilizzati per la determinazione di tali periodi</w:t>
      </w:r>
    </w:p>
    <w:p w:rsidR="002E2BB1" w:rsidRPr="003C53D3" w:rsidRDefault="001930E1" w:rsidP="00D8549B">
      <w:pPr>
        <w:spacing w:before="120" w:after="120"/>
        <w:ind w:firstLine="708"/>
        <w:jc w:val="both"/>
      </w:pPr>
      <w:r>
        <w:t xml:space="preserve">La Politica di Remunerazione non prevede </w:t>
      </w:r>
      <w:r w:rsidR="00B36C18">
        <w:t xml:space="preserve">attualmente </w:t>
      </w:r>
      <w:r>
        <w:t>piani di incentivazione basati su strumenti finanziari.</w:t>
      </w:r>
      <w:r w:rsidR="002E2BB1">
        <w:t xml:space="preserve"> </w:t>
      </w:r>
    </w:p>
    <w:p w:rsidR="001930E1" w:rsidRPr="003C53D3" w:rsidRDefault="001930E1" w:rsidP="001930E1">
      <w:pPr>
        <w:spacing w:before="120" w:after="120"/>
        <w:jc w:val="both"/>
      </w:pPr>
    </w:p>
    <w:p w:rsidR="00604579" w:rsidRPr="00081D86" w:rsidRDefault="002E2BB1" w:rsidP="00F6006F">
      <w:pPr>
        <w:pStyle w:val="Titolo2"/>
        <w:spacing w:before="120" w:after="120"/>
        <w:ind w:left="720" w:hanging="72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81D86">
        <w:rPr>
          <w:rFonts w:ascii="Times New Roman" w:hAnsi="Times New Roman" w:cs="Times New Roman"/>
          <w:i w:val="0"/>
          <w:sz w:val="24"/>
          <w:szCs w:val="24"/>
        </w:rPr>
        <w:t>8</w:t>
      </w:r>
      <w:bookmarkStart w:id="4" w:name="_Toc320606119"/>
      <w:r w:rsidR="00F6006F" w:rsidRPr="00081D86">
        <w:rPr>
          <w:rFonts w:ascii="Times New Roman" w:hAnsi="Times New Roman" w:cs="Times New Roman"/>
          <w:i w:val="0"/>
          <w:sz w:val="24"/>
          <w:szCs w:val="24"/>
        </w:rPr>
        <w:t>.</w:t>
      </w:r>
      <w:r w:rsidR="00F6006F" w:rsidRPr="00081D86">
        <w:rPr>
          <w:rFonts w:ascii="Times New Roman" w:hAnsi="Times New Roman" w:cs="Times New Roman"/>
          <w:i w:val="0"/>
          <w:sz w:val="24"/>
          <w:szCs w:val="24"/>
        </w:rPr>
        <w:tab/>
      </w:r>
      <w:r w:rsidR="00604579" w:rsidRPr="00081D86">
        <w:rPr>
          <w:rFonts w:ascii="Times New Roman" w:hAnsi="Times New Roman" w:cs="Times New Roman"/>
          <w:i w:val="0"/>
          <w:sz w:val="24"/>
          <w:szCs w:val="24"/>
        </w:rPr>
        <w:t>Politica relativa ai trattamenti previsti in caso di cessazione dalla carica o di risoluzione del rapporto di lavoro</w:t>
      </w:r>
      <w:bookmarkEnd w:id="4"/>
    </w:p>
    <w:p w:rsidR="00604579" w:rsidRPr="00081D86" w:rsidRDefault="00604579" w:rsidP="00D8549B">
      <w:pPr>
        <w:spacing w:before="120" w:after="120"/>
        <w:ind w:firstLine="708"/>
        <w:jc w:val="both"/>
      </w:pPr>
      <w:r w:rsidRPr="00081D86">
        <w:t xml:space="preserve">La </w:t>
      </w:r>
      <w:r w:rsidR="009D6E49">
        <w:t>p</w:t>
      </w:r>
      <w:r w:rsidR="009D6E49" w:rsidRPr="00081D86">
        <w:t xml:space="preserve">olitica </w:t>
      </w:r>
      <w:r w:rsidRPr="00081D86">
        <w:t xml:space="preserve">di </w:t>
      </w:r>
      <w:r w:rsidR="009D6E49">
        <w:t>r</w:t>
      </w:r>
      <w:r w:rsidR="009D6E49" w:rsidRPr="00081D86">
        <w:t xml:space="preserve">emunerazione </w:t>
      </w:r>
      <w:r w:rsidRPr="00081D86">
        <w:t xml:space="preserve">non prevede </w:t>
      </w:r>
      <w:r w:rsidR="009D6E49">
        <w:t xml:space="preserve">in nessun caso in favore degli </w:t>
      </w:r>
      <w:r w:rsidR="008731D7">
        <w:t>Amministratori</w:t>
      </w:r>
      <w:r w:rsidR="006920EC">
        <w:t xml:space="preserve">, in  particolare </w:t>
      </w:r>
      <w:r w:rsidR="00A40E97">
        <w:t xml:space="preserve">di Quelli </w:t>
      </w:r>
      <w:r w:rsidR="006920EC">
        <w:t>depositari di particolari cariche</w:t>
      </w:r>
      <w:r w:rsidR="0049206F" w:rsidRPr="00081D86">
        <w:t xml:space="preserve">, </w:t>
      </w:r>
      <w:r w:rsidRPr="00AB514A">
        <w:t>che</w:t>
      </w:r>
      <w:r w:rsidRPr="00081D86">
        <w:t xml:space="preserve"> </w:t>
      </w:r>
      <w:r w:rsidR="0087658C">
        <w:t>comportino</w:t>
      </w:r>
      <w:r w:rsidR="006920EC">
        <w:t xml:space="preserve"> </w:t>
      </w:r>
      <w:r w:rsidRPr="00081D86">
        <w:t xml:space="preserve">indennità </w:t>
      </w:r>
      <w:r w:rsidR="009D6E49">
        <w:t xml:space="preserve">di alcun tipo, ovvero benefici di sorta, conseguenti, connessi o successivi alla cessazione della carica, e ciò indipendentemente dalle ragioni che la determinino: </w:t>
      </w:r>
      <w:r w:rsidRPr="00081D86">
        <w:t xml:space="preserve">dimissioni o revoca </w:t>
      </w:r>
      <w:r w:rsidR="009D6E49">
        <w:t xml:space="preserve">o mancato rinnovo del mandato. Nemmeno è previsto il caso di indennità speciali nel caso di </w:t>
      </w:r>
      <w:r w:rsidRPr="00081D86">
        <w:t>offerta pubblica di acquisto</w:t>
      </w:r>
      <w:r w:rsidR="006920EC">
        <w:t>.</w:t>
      </w:r>
    </w:p>
    <w:p w:rsidR="00604579" w:rsidRPr="00F70816" w:rsidRDefault="009D6E49" w:rsidP="00B77ABC">
      <w:pPr>
        <w:spacing w:before="120" w:after="120"/>
        <w:jc w:val="both"/>
      </w:pPr>
      <w:r>
        <w:tab/>
      </w:r>
      <w:r w:rsidRPr="008320AB">
        <w:t xml:space="preserve">Le ragioni di tale impostazione sono da ricondurre al ruolo di Soci di riferimento, rivestito da </w:t>
      </w:r>
      <w:r w:rsidR="006C23E6" w:rsidRPr="00244B85">
        <w:t>e</w:t>
      </w:r>
      <w:r w:rsidRPr="00244B85">
        <w:t xml:space="preserve">ntrambi gli </w:t>
      </w:r>
      <w:r w:rsidR="006C23E6" w:rsidRPr="00A0519D">
        <w:t>A</w:t>
      </w:r>
      <w:r w:rsidRPr="005A2060">
        <w:t>mministratori esecutivi, nella società Penta Holding, attuale controllante di Bolzoni s.p.a.</w:t>
      </w:r>
    </w:p>
    <w:p w:rsidR="009D6E49" w:rsidRPr="0049117E" w:rsidRDefault="009D6E49" w:rsidP="00B77ABC">
      <w:pPr>
        <w:spacing w:before="120" w:after="120"/>
        <w:jc w:val="both"/>
      </w:pPr>
      <w:r w:rsidRPr="00F70816">
        <w:tab/>
      </w:r>
      <w:r w:rsidRPr="0049117E">
        <w:t xml:space="preserve">Le medesime considerazioni sono poste </w:t>
      </w:r>
      <w:r w:rsidR="00F70816">
        <w:t xml:space="preserve">dal Consiglio di amministrazione </w:t>
      </w:r>
      <w:r w:rsidRPr="0049117E">
        <w:t>a fondamento della mancata previsione di patti di non concorrenza che intercorrano con Ciascuno di Essi.</w:t>
      </w:r>
    </w:p>
    <w:p w:rsidR="009D6E49" w:rsidRPr="008320AB" w:rsidRDefault="009D6E49" w:rsidP="00B77ABC">
      <w:pPr>
        <w:spacing w:before="120" w:after="120"/>
        <w:jc w:val="both"/>
      </w:pPr>
      <w:r w:rsidRPr="0049117E">
        <w:tab/>
        <w:t xml:space="preserve">Non è previsto un piano per la loro successione, ritenendosi che la ripartizione dei ruoli di vertice e la buona organizzazione operativa della Società e del Gruppo consentano agevolmente di fronteggiare le eventuali situazioni di emergenza </w:t>
      </w:r>
      <w:r w:rsidR="00B92025" w:rsidRPr="0049117E">
        <w:t xml:space="preserve">che avessero a presentarsi </w:t>
      </w:r>
      <w:r w:rsidRPr="0049117E">
        <w:t>e che il Socio di controllo sia in grado di provvedere alla loro sostituzione in caso di necessità.</w:t>
      </w:r>
    </w:p>
    <w:p w:rsidR="00604579" w:rsidRPr="00A0519D" w:rsidRDefault="00604579" w:rsidP="00604579">
      <w:pPr>
        <w:spacing w:before="120" w:after="120"/>
        <w:jc w:val="both"/>
      </w:pPr>
    </w:p>
    <w:p w:rsidR="00604579" w:rsidRPr="00081D86" w:rsidRDefault="00FC4BA8" w:rsidP="00C55E80">
      <w:pPr>
        <w:pStyle w:val="Titolo2"/>
        <w:spacing w:before="120" w:after="120"/>
        <w:ind w:left="720" w:hanging="72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20606122"/>
      <w:r w:rsidRPr="0049117E">
        <w:rPr>
          <w:rFonts w:ascii="Times New Roman" w:hAnsi="Times New Roman" w:cs="Times New Roman"/>
          <w:i w:val="0"/>
          <w:sz w:val="24"/>
          <w:szCs w:val="24"/>
        </w:rPr>
        <w:t>9</w:t>
      </w:r>
      <w:r w:rsidR="00A67383" w:rsidRPr="0049117E">
        <w:rPr>
          <w:rFonts w:ascii="Times New Roman" w:hAnsi="Times New Roman" w:cs="Times New Roman"/>
          <w:i w:val="0"/>
          <w:sz w:val="24"/>
          <w:szCs w:val="24"/>
        </w:rPr>
        <w:t>.</w:t>
      </w:r>
      <w:r w:rsidR="00A67383" w:rsidRPr="0049117E">
        <w:rPr>
          <w:rFonts w:ascii="Times New Roman" w:hAnsi="Times New Roman" w:cs="Times New Roman"/>
          <w:i w:val="0"/>
          <w:sz w:val="24"/>
          <w:szCs w:val="24"/>
        </w:rPr>
        <w:tab/>
      </w:r>
      <w:r w:rsidR="00604579" w:rsidRPr="0049117E">
        <w:rPr>
          <w:rFonts w:ascii="Times New Roman" w:hAnsi="Times New Roman" w:cs="Times New Roman"/>
          <w:i w:val="0"/>
          <w:sz w:val="24"/>
          <w:szCs w:val="24"/>
        </w:rPr>
        <w:t>Indicazioni circa l’eventuale utilizzo, quale riferimento, di politiche retributive di altre società</w:t>
      </w:r>
      <w:bookmarkEnd w:id="5"/>
    </w:p>
    <w:p w:rsidR="00604579" w:rsidRPr="00C55E80" w:rsidRDefault="00604579" w:rsidP="00D8549B">
      <w:pPr>
        <w:spacing w:before="120" w:after="120"/>
        <w:ind w:firstLine="708"/>
        <w:jc w:val="both"/>
      </w:pPr>
      <w:smartTag w:uri="urn:schemas-microsoft-com:office:smarttags" w:element="PersonName">
        <w:smartTagPr>
          <w:attr w:name="ProductID" w:val="La Politica"/>
        </w:smartTagPr>
        <w:r w:rsidRPr="00C55E80">
          <w:t>La Politica</w:t>
        </w:r>
      </w:smartTag>
      <w:r w:rsidRPr="00C55E80">
        <w:t xml:space="preserve"> di Remunerazione è stata predisposta dalla Società senza </w:t>
      </w:r>
      <w:r w:rsidR="00D3619D">
        <w:t>prendere a riferimento</w:t>
      </w:r>
      <w:r w:rsidR="00D3619D" w:rsidRPr="00C55E80">
        <w:t xml:space="preserve"> </w:t>
      </w:r>
      <w:r w:rsidRPr="00C55E80">
        <w:t xml:space="preserve">la politica di altre </w:t>
      </w:r>
      <w:r w:rsidR="006C23E6">
        <w:t>S</w:t>
      </w:r>
      <w:r w:rsidR="006C23E6" w:rsidRPr="00C55E80">
        <w:t>ocietà</w:t>
      </w:r>
      <w:r w:rsidRPr="00C55E80">
        <w:t xml:space="preserve">. </w:t>
      </w:r>
    </w:p>
    <w:p w:rsidR="00702B89" w:rsidRDefault="00702B89" w:rsidP="003C53D3">
      <w:pPr>
        <w:spacing w:before="120" w:after="120"/>
        <w:jc w:val="both"/>
      </w:pPr>
    </w:p>
    <w:p w:rsidR="009C52CB" w:rsidRPr="003C53D3" w:rsidRDefault="009C52CB" w:rsidP="003C53D3">
      <w:pPr>
        <w:spacing w:before="120" w:after="120"/>
        <w:jc w:val="both"/>
        <w:rPr>
          <w:b/>
        </w:rPr>
      </w:pPr>
      <w:r w:rsidRPr="003B0E35">
        <w:br w:type="page"/>
      </w:r>
      <w:bookmarkStart w:id="6" w:name="_Toc320606123"/>
      <w:r w:rsidRPr="003C53D3">
        <w:rPr>
          <w:b/>
        </w:rPr>
        <w:t>SEZIONE II – COMPENSI PERCEPITI NELL’ESERCIZIO 201</w:t>
      </w:r>
      <w:r w:rsidR="007355AE">
        <w:rPr>
          <w:b/>
        </w:rPr>
        <w:t>4</w:t>
      </w:r>
      <w:r w:rsidRPr="003C53D3">
        <w:rPr>
          <w:b/>
        </w:rPr>
        <w:t xml:space="preserve"> DAI COMPONENTI DEL</w:t>
      </w:r>
      <w:r w:rsidR="003C53D3" w:rsidRPr="00B77ABC">
        <w:rPr>
          <w:b/>
        </w:rPr>
        <w:t xml:space="preserve"> CONSIGLIO DI AMMINISTRAZIONE </w:t>
      </w:r>
      <w:r w:rsidR="003C53D3">
        <w:rPr>
          <w:b/>
        </w:rPr>
        <w:t xml:space="preserve">E </w:t>
      </w:r>
      <w:r w:rsidRPr="003C53D3">
        <w:rPr>
          <w:b/>
        </w:rPr>
        <w:t>DEL COLLEGIO SINDACALE</w:t>
      </w:r>
      <w:bookmarkEnd w:id="6"/>
      <w:r w:rsidRPr="003C53D3">
        <w:rPr>
          <w:b/>
        </w:rPr>
        <w:t xml:space="preserve"> </w:t>
      </w:r>
    </w:p>
    <w:p w:rsidR="00EE74CC" w:rsidRDefault="00EE74CC" w:rsidP="00D8549B">
      <w:pPr>
        <w:spacing w:before="120" w:after="120"/>
        <w:ind w:firstLine="357"/>
        <w:jc w:val="both"/>
      </w:pPr>
    </w:p>
    <w:p w:rsidR="009C52CB" w:rsidRPr="003B0E35" w:rsidRDefault="009C52CB" w:rsidP="00D8549B">
      <w:pPr>
        <w:spacing w:before="120" w:after="120"/>
        <w:ind w:firstLine="357"/>
        <w:jc w:val="both"/>
      </w:pPr>
      <w:r w:rsidRPr="003B0E35">
        <w:t>Nella presente sezione della Relazione sono illustrati nominativamente i compensi relativi all’esercizio 201</w:t>
      </w:r>
      <w:r w:rsidR="007355AE">
        <w:t>4</w:t>
      </w:r>
      <w:r w:rsidRPr="003B0E35">
        <w:t xml:space="preserve"> spettanti ai componenti del Consiglio di Amministrazione e del Collegio Sindacale </w:t>
      </w:r>
    </w:p>
    <w:p w:rsidR="009C52CB" w:rsidRPr="003B0E35" w:rsidRDefault="009C52CB" w:rsidP="003C53D3">
      <w:pPr>
        <w:tabs>
          <w:tab w:val="left" w:pos="360"/>
        </w:tabs>
        <w:spacing w:before="120" w:after="120"/>
        <w:ind w:left="357" w:hanging="357"/>
        <w:jc w:val="center"/>
        <w:rPr>
          <w:b/>
        </w:rPr>
      </w:pPr>
      <w:r w:rsidRPr="003B0E35">
        <w:rPr>
          <w:b/>
        </w:rPr>
        <w:t xml:space="preserve">*   *   * </w:t>
      </w:r>
    </w:p>
    <w:p w:rsidR="009C52CB" w:rsidRPr="003B0E35" w:rsidRDefault="009C52CB" w:rsidP="003C53D3">
      <w:pPr>
        <w:pStyle w:val="Titolo1"/>
        <w:spacing w:before="120" w:after="120"/>
        <w:jc w:val="both"/>
        <w:rPr>
          <w:rFonts w:ascii="Times New Roman" w:hAnsi="Times New Roman" w:cs="Times New Roman"/>
          <w:smallCaps/>
        </w:rPr>
      </w:pPr>
      <w:bookmarkStart w:id="7" w:name="_Toc320606124"/>
      <w:r w:rsidRPr="003B0E35">
        <w:rPr>
          <w:rFonts w:ascii="Times New Roman" w:hAnsi="Times New Roman" w:cs="Times New Roman"/>
          <w:smallCaps/>
        </w:rPr>
        <w:t xml:space="preserve">Prima Parte – voci che compongono </w:t>
      </w:r>
      <w:smartTag w:uri="urn:schemas-microsoft-com:office:smarttags" w:element="PersonName">
        <w:smartTagPr>
          <w:attr w:name="ProductID" w:val="la Remunerazione"/>
        </w:smartTagPr>
        <w:r w:rsidRPr="003B0E35">
          <w:rPr>
            <w:rFonts w:ascii="Times New Roman" w:hAnsi="Times New Roman" w:cs="Times New Roman"/>
            <w:smallCaps/>
          </w:rPr>
          <w:t>la remunerazione</w:t>
        </w:r>
      </w:smartTag>
      <w:bookmarkEnd w:id="7"/>
    </w:p>
    <w:p w:rsidR="009C52CB" w:rsidRPr="003B0E35" w:rsidRDefault="00D8549B" w:rsidP="003C53D3">
      <w:pPr>
        <w:tabs>
          <w:tab w:val="left" w:pos="0"/>
        </w:tabs>
        <w:spacing w:before="120" w:after="120"/>
        <w:jc w:val="both"/>
      </w:pPr>
      <w:r>
        <w:tab/>
      </w:r>
      <w:r w:rsidR="009C52CB" w:rsidRPr="003B0E35">
        <w:t>Nella presente parte della Sezione II è fornita un’adeguata rappresentazione di ciascuna delle voci che compongono la remunerazione dei componenti del Consiglio di Amministrazione e del Collegio Sindacale con riferimento all’esercizio 201</w:t>
      </w:r>
      <w:r w:rsidR="007355AE">
        <w:t>4</w:t>
      </w:r>
      <w:r w:rsidR="009C52CB" w:rsidRPr="003B0E35">
        <w:t xml:space="preserve">. </w:t>
      </w:r>
    </w:p>
    <w:p w:rsidR="009C52CB" w:rsidRPr="003B0E35" w:rsidRDefault="00D8549B" w:rsidP="003C53D3">
      <w:pPr>
        <w:tabs>
          <w:tab w:val="left" w:pos="0"/>
        </w:tabs>
        <w:spacing w:before="120" w:after="120"/>
        <w:jc w:val="both"/>
      </w:pPr>
      <w:r>
        <w:tab/>
      </w:r>
      <w:r w:rsidR="009C52CB" w:rsidRPr="003B0E35">
        <w:t>Tali voci sono riflesse nelle tabelle di cui alla Seconda Parte della presente Sezione.</w:t>
      </w:r>
    </w:p>
    <w:p w:rsidR="000A0CF7" w:rsidRDefault="000A0CF7" w:rsidP="003C53D3">
      <w:pPr>
        <w:spacing w:before="120" w:after="120"/>
        <w:jc w:val="both"/>
        <w:rPr>
          <w:b/>
        </w:rPr>
      </w:pPr>
      <w:bookmarkStart w:id="8" w:name="_Toc320606125"/>
    </w:p>
    <w:p w:rsidR="0081020E" w:rsidRPr="003B0E35" w:rsidRDefault="009C52CB" w:rsidP="003C53D3">
      <w:pPr>
        <w:spacing w:before="120" w:after="120"/>
        <w:jc w:val="both"/>
        <w:rPr>
          <w:b/>
        </w:rPr>
      </w:pPr>
      <w:r w:rsidRPr="003B0E35">
        <w:rPr>
          <w:b/>
        </w:rPr>
        <w:t>1.1</w:t>
      </w:r>
      <w:r w:rsidRPr="003B0E35">
        <w:rPr>
          <w:b/>
        </w:rPr>
        <w:tab/>
        <w:t>Consiglio di Amministrazione</w:t>
      </w:r>
      <w:bookmarkEnd w:id="8"/>
    </w:p>
    <w:p w:rsidR="00997A82" w:rsidRDefault="00997A82" w:rsidP="00997A82">
      <w:pPr>
        <w:spacing w:before="120" w:after="120"/>
        <w:jc w:val="both"/>
        <w:rPr>
          <w:i/>
        </w:rPr>
      </w:pPr>
    </w:p>
    <w:p w:rsidR="00997A82" w:rsidRPr="00A0519D" w:rsidRDefault="004660E3" w:rsidP="00997A82">
      <w:pPr>
        <w:spacing w:before="120" w:after="120"/>
        <w:jc w:val="both"/>
        <w:rPr>
          <w:b/>
          <w:i/>
        </w:rPr>
      </w:pPr>
      <w:r w:rsidRPr="008320AB">
        <w:rPr>
          <w:b/>
          <w:i/>
        </w:rPr>
        <w:t>1.1.1</w:t>
      </w:r>
      <w:r w:rsidRPr="008320AB">
        <w:rPr>
          <w:b/>
          <w:i/>
        </w:rPr>
        <w:tab/>
      </w:r>
      <w:r w:rsidR="00997A82" w:rsidRPr="00A0519D">
        <w:rPr>
          <w:b/>
          <w:i/>
        </w:rPr>
        <w:t>Presidente del Consiglio di amministrazione - Emilio Bolzoni</w:t>
      </w:r>
    </w:p>
    <w:p w:rsidR="00997A82" w:rsidRPr="008320AB" w:rsidRDefault="00997A82" w:rsidP="00D8549B">
      <w:pPr>
        <w:spacing w:before="120" w:after="120"/>
        <w:ind w:firstLine="708"/>
        <w:jc w:val="both"/>
      </w:pPr>
      <w:r w:rsidRPr="008320AB">
        <w:t>Come precisato, la remunerazione del Presidente non è legata ai risultati economici conseguiti dalla Società e, pertanto, è composta unicamente da una parte fissa determinata all’interno dell’ammontare complessivo stabilito dall’Assemblea ordinaria all’atto della nomina.</w:t>
      </w:r>
      <w:r w:rsidR="00B56321" w:rsidRPr="008320AB">
        <w:t xml:space="preserve"> Ammonta ad euro 230.000 annui.</w:t>
      </w:r>
    </w:p>
    <w:p w:rsidR="00997A82" w:rsidRDefault="00B55EED" w:rsidP="00997A82">
      <w:pPr>
        <w:spacing w:before="120" w:after="120"/>
        <w:jc w:val="both"/>
      </w:pPr>
      <w:r w:rsidRPr="00A0519D">
        <w:tab/>
        <w:t xml:space="preserve">Al Presidente del Consiglio di amministrazione spetta altresì un’indennità di carica di </w:t>
      </w:r>
      <w:r w:rsidR="00440AC3" w:rsidRPr="008320AB">
        <w:t xml:space="preserve">consigliere di </w:t>
      </w:r>
      <w:r w:rsidRPr="008320AB">
        <w:t>amministra</w:t>
      </w:r>
      <w:r w:rsidR="00440AC3" w:rsidRPr="008320AB">
        <w:t>zione</w:t>
      </w:r>
      <w:r w:rsidRPr="008320AB">
        <w:t>, ricoperta presso Auramo OY (Finlandia).</w:t>
      </w:r>
    </w:p>
    <w:p w:rsidR="00B55EED" w:rsidRDefault="00B55EED" w:rsidP="00997A82">
      <w:pPr>
        <w:spacing w:before="120" w:after="120"/>
        <w:jc w:val="both"/>
      </w:pPr>
    </w:p>
    <w:p w:rsidR="00B55EED" w:rsidRDefault="00B55EED" w:rsidP="00997A82">
      <w:pPr>
        <w:spacing w:before="120" w:after="120"/>
        <w:jc w:val="both"/>
      </w:pPr>
    </w:p>
    <w:p w:rsidR="00B55EED" w:rsidRPr="00B11FB1" w:rsidRDefault="00B55EED" w:rsidP="00997A82">
      <w:pPr>
        <w:spacing w:before="120" w:after="120"/>
        <w:jc w:val="both"/>
      </w:pPr>
    </w:p>
    <w:p w:rsidR="00997A82" w:rsidRPr="005B652B" w:rsidRDefault="00B11FB1" w:rsidP="00997A82">
      <w:pPr>
        <w:spacing w:before="120" w:after="120"/>
        <w:jc w:val="both"/>
        <w:rPr>
          <w:b/>
          <w:i/>
        </w:rPr>
      </w:pPr>
      <w:r w:rsidRPr="005B652B">
        <w:rPr>
          <w:b/>
          <w:i/>
        </w:rPr>
        <w:t>1.1.2</w:t>
      </w:r>
      <w:r w:rsidRPr="005B652B">
        <w:rPr>
          <w:b/>
          <w:i/>
        </w:rPr>
        <w:tab/>
      </w:r>
      <w:r w:rsidR="00997A82" w:rsidRPr="005B652B">
        <w:rPr>
          <w:b/>
          <w:i/>
        </w:rPr>
        <w:t>Amministratore Delegato - Roberto Scotti</w:t>
      </w:r>
    </w:p>
    <w:p w:rsidR="00997A82" w:rsidRPr="004660E3" w:rsidRDefault="00997A82" w:rsidP="00D8549B">
      <w:pPr>
        <w:spacing w:before="120" w:after="120"/>
        <w:ind w:firstLine="708"/>
        <w:jc w:val="both"/>
      </w:pPr>
      <w:r w:rsidRPr="004660E3">
        <w:t>Si riporta di seguito una descrizione di ciascuna delle voci che hanno composto la remunerazione dell’Amministratore Delegato nel corso dell’esercizio 201</w:t>
      </w:r>
      <w:r w:rsidR="007355AE">
        <w:t>4</w:t>
      </w:r>
      <w:r w:rsidR="004D1107">
        <w:t>:</w:t>
      </w:r>
    </w:p>
    <w:p w:rsidR="00997A82" w:rsidRPr="003457DA" w:rsidRDefault="00997A82" w:rsidP="006C23E6">
      <w:pPr>
        <w:tabs>
          <w:tab w:val="left" w:pos="709"/>
        </w:tabs>
        <w:spacing w:before="120" w:after="120"/>
        <w:ind w:left="709" w:hanging="709"/>
        <w:jc w:val="both"/>
      </w:pPr>
      <w:r w:rsidRPr="003457DA">
        <w:t>i)</w:t>
      </w:r>
      <w:r w:rsidRPr="003457DA">
        <w:tab/>
        <w:t>un compenso fisso di Euro 230</w:t>
      </w:r>
      <w:r w:rsidR="00231CBB" w:rsidRPr="003457DA">
        <w:t>.</w:t>
      </w:r>
      <w:r w:rsidRPr="003457DA">
        <w:t>000;</w:t>
      </w:r>
      <w:r w:rsidR="00B55EED">
        <w:t xml:space="preserve"> oltre ad euro 33.000 per compenso di componente del Consiglio di </w:t>
      </w:r>
      <w:r w:rsidR="00671169">
        <w:t xml:space="preserve">amministrazione nella controllata </w:t>
      </w:r>
      <w:r w:rsidR="00B55EED">
        <w:t>Meyer Gmb</w:t>
      </w:r>
      <w:r w:rsidR="00671169">
        <w:t>H</w:t>
      </w:r>
      <w:r w:rsidR="00B55EED">
        <w:t xml:space="preserve"> (D);</w:t>
      </w:r>
    </w:p>
    <w:p w:rsidR="00E45008" w:rsidRDefault="00997A82" w:rsidP="006C23E6">
      <w:pPr>
        <w:tabs>
          <w:tab w:val="left" w:pos="709"/>
        </w:tabs>
        <w:spacing w:before="120" w:after="120"/>
        <w:ind w:left="709" w:hanging="709"/>
        <w:jc w:val="both"/>
      </w:pPr>
      <w:r w:rsidRPr="003457DA">
        <w:t>ii)</w:t>
      </w:r>
      <w:r w:rsidRPr="003457DA">
        <w:tab/>
      </w:r>
      <w:r w:rsidR="003E53A0" w:rsidRPr="00712655">
        <w:t>un compenso variabile che però non è stato conseguito in quanto gli obiettivi di risultato, legati al fatturato ed all’EBITDA, sono stati raggiunti in misura inferiore rispetto alla soglia minima d’incentivazione prefissata</w:t>
      </w:r>
      <w:r w:rsidR="00D13374">
        <w:t>;</w:t>
      </w:r>
      <w:r w:rsidR="003E53A0" w:rsidRPr="003E53A0">
        <w:t xml:space="preserve"> </w:t>
      </w:r>
    </w:p>
    <w:p w:rsidR="006C23E6" w:rsidRDefault="006C23E6" w:rsidP="006C23E6">
      <w:pPr>
        <w:tabs>
          <w:tab w:val="left" w:pos="709"/>
        </w:tabs>
        <w:spacing w:before="120" w:after="120"/>
        <w:ind w:left="709" w:hanging="709"/>
        <w:jc w:val="both"/>
      </w:pPr>
      <w:r>
        <w:t>iii)</w:t>
      </w:r>
      <w:r>
        <w:tab/>
        <w:t>nessun compenso straordinario.</w:t>
      </w:r>
    </w:p>
    <w:p w:rsidR="004660E3" w:rsidRPr="00B11FB1" w:rsidRDefault="004660E3" w:rsidP="00997A82">
      <w:pPr>
        <w:spacing w:before="120" w:after="120"/>
        <w:jc w:val="both"/>
      </w:pPr>
    </w:p>
    <w:p w:rsidR="00B11FB1" w:rsidRPr="00F75414" w:rsidRDefault="00B11FB1" w:rsidP="00B11FB1">
      <w:pPr>
        <w:spacing w:before="120" w:after="120"/>
        <w:jc w:val="both"/>
        <w:rPr>
          <w:b/>
          <w:i/>
        </w:rPr>
      </w:pPr>
      <w:r w:rsidRPr="00F75414">
        <w:rPr>
          <w:b/>
          <w:i/>
        </w:rPr>
        <w:t>1.1.3</w:t>
      </w:r>
      <w:r w:rsidRPr="00F75414">
        <w:rPr>
          <w:b/>
          <w:i/>
        </w:rPr>
        <w:tab/>
        <w:t>Altri componenti del Consiglio di Amministrazione</w:t>
      </w:r>
    </w:p>
    <w:p w:rsidR="004660E3" w:rsidRDefault="00997A82" w:rsidP="00D8549B">
      <w:pPr>
        <w:spacing w:before="120" w:after="120"/>
        <w:ind w:firstLine="708"/>
        <w:jc w:val="both"/>
      </w:pPr>
      <w:r>
        <w:t>Come precisato, l</w:t>
      </w:r>
      <w:r w:rsidR="00B11FB1">
        <w:t>a remunerazione degli altri componenti del Consiglio di Amministrazione, tutti non esecutivi, non è legata ai risultati economici conseguiti dalla Società e, pertanto, è composta unicamente da una parte fissa.</w:t>
      </w:r>
      <w:r w:rsidR="00B94917">
        <w:t xml:space="preserve"> Ammonta ad euro </w:t>
      </w:r>
      <w:r w:rsidR="00311B1E" w:rsidRPr="008B0610">
        <w:t>28,000</w:t>
      </w:r>
      <w:r w:rsidR="00D519E3">
        <w:t xml:space="preserve"> </w:t>
      </w:r>
      <w:r w:rsidR="00B94917" w:rsidRPr="008B0610">
        <w:t>annui</w:t>
      </w:r>
      <w:r w:rsidR="00B94917">
        <w:t xml:space="preserve"> per Ciascuno, eventualmente da ragguagliarsi al minor periodo di vigenza nella carica nel corso dell’esercizio.</w:t>
      </w:r>
    </w:p>
    <w:p w:rsidR="00E65634" w:rsidRPr="00AC2E2B" w:rsidRDefault="00E65634" w:rsidP="00AC2E2B">
      <w:bookmarkStart w:id="9" w:name="_Toc320606126"/>
    </w:p>
    <w:p w:rsidR="00EE74CC" w:rsidRDefault="00EE74CC" w:rsidP="00514BC1">
      <w:pPr>
        <w:pStyle w:val="Titolo2"/>
        <w:spacing w:before="12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14BC1" w:rsidRDefault="00E65634" w:rsidP="00514BC1">
      <w:pPr>
        <w:pStyle w:val="Titolo2"/>
        <w:spacing w:before="12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</w:t>
      </w:r>
      <w:r w:rsidR="00997A82">
        <w:rPr>
          <w:rFonts w:ascii="Times New Roman" w:hAnsi="Times New Roman" w:cs="Times New Roman"/>
          <w:i w:val="0"/>
          <w:sz w:val="24"/>
          <w:szCs w:val="24"/>
        </w:rPr>
        <w:t>2</w:t>
      </w:r>
      <w:r w:rsidR="00514BC1" w:rsidRPr="003B0E35">
        <w:rPr>
          <w:rFonts w:ascii="Times New Roman" w:hAnsi="Times New Roman" w:cs="Times New Roman"/>
          <w:i w:val="0"/>
          <w:sz w:val="24"/>
          <w:szCs w:val="24"/>
        </w:rPr>
        <w:tab/>
        <w:t>Collegio Sindacale</w:t>
      </w:r>
      <w:bookmarkEnd w:id="9"/>
    </w:p>
    <w:p w:rsidR="00B11FB1" w:rsidRDefault="00B11FB1" w:rsidP="00D8549B">
      <w:pPr>
        <w:spacing w:before="120" w:after="120"/>
        <w:ind w:firstLine="708"/>
        <w:jc w:val="both"/>
      </w:pPr>
      <w:r>
        <w:t>Nel corso dell’esercizio 201</w:t>
      </w:r>
      <w:r w:rsidR="007355AE">
        <w:t>4</w:t>
      </w:r>
      <w:r>
        <w:t>, i</w:t>
      </w:r>
      <w:r w:rsidR="00997A82">
        <w:t xml:space="preserve"> compensi al </w:t>
      </w:r>
      <w:r>
        <w:t>Collegio Sindacale</w:t>
      </w:r>
      <w:r w:rsidR="00997A82">
        <w:t>, come stabilito dall’</w:t>
      </w:r>
      <w:r w:rsidR="000E533C">
        <w:t>A</w:t>
      </w:r>
      <w:r w:rsidR="00997A82">
        <w:t xml:space="preserve">ssemblea dei </w:t>
      </w:r>
      <w:r w:rsidR="000E533C">
        <w:t>Soci</w:t>
      </w:r>
      <w:r w:rsidR="00997A82">
        <w:t xml:space="preserve"> del 29/4/2013 che lo ha nominato,</w:t>
      </w:r>
      <w:r>
        <w:t xml:space="preserve"> è stato </w:t>
      </w:r>
      <w:r w:rsidR="00997A82">
        <w:t>riconosciuto nelle seguenti misure:</w:t>
      </w:r>
      <w:r>
        <w:t xml:space="preserve"> </w:t>
      </w:r>
    </w:p>
    <w:p w:rsidR="00B11FB1" w:rsidRDefault="00B11FB1" w:rsidP="00E92C14">
      <w:pPr>
        <w:spacing w:before="120" w:after="120"/>
        <w:ind w:left="720" w:hanging="720"/>
        <w:jc w:val="both"/>
      </w:pPr>
      <w:r>
        <w:t>-</w:t>
      </w:r>
      <w:r>
        <w:tab/>
      </w:r>
      <w:r w:rsidR="00997A82">
        <w:t xml:space="preserve">a </w:t>
      </w:r>
      <w:r w:rsidRPr="003B0E35">
        <w:t>Giorgio Picone</w:t>
      </w:r>
      <w:r w:rsidR="00997A82">
        <w:t xml:space="preserve">, </w:t>
      </w:r>
      <w:r>
        <w:t>Presidente</w:t>
      </w:r>
      <w:r w:rsidR="00D8549B">
        <w:t xml:space="preserve"> </w:t>
      </w:r>
      <w:r w:rsidR="00997A82">
        <w:t xml:space="preserve">del collegio sindacale, </w:t>
      </w:r>
      <w:r>
        <w:t>il compenso relativo all’esercizio 201</w:t>
      </w:r>
      <w:r w:rsidR="007355AE">
        <w:t>4</w:t>
      </w:r>
      <w:r>
        <w:t xml:space="preserve"> è pari a Euro </w:t>
      </w:r>
      <w:r w:rsidR="00E92C14" w:rsidRPr="003457DA">
        <w:t>25.000</w:t>
      </w:r>
      <w:r w:rsidRPr="003457DA">
        <w:t>;</w:t>
      </w:r>
    </w:p>
    <w:p w:rsidR="00997A82" w:rsidRDefault="00B11FB1" w:rsidP="00E92C14">
      <w:pPr>
        <w:spacing w:before="120" w:after="120"/>
        <w:ind w:left="720" w:hanging="720"/>
        <w:jc w:val="both"/>
      </w:pPr>
      <w:r>
        <w:t>-</w:t>
      </w:r>
      <w:r>
        <w:tab/>
      </w:r>
      <w:r w:rsidR="00997A82">
        <w:t xml:space="preserve">a </w:t>
      </w:r>
      <w:r w:rsidR="00E92C14" w:rsidRPr="003B0E35">
        <w:t>Maria Gabriella Anelli</w:t>
      </w:r>
      <w:r w:rsidR="00997A82">
        <w:t xml:space="preserve"> ed a Carlo Baldi, </w:t>
      </w:r>
      <w:r>
        <w:t>il compenso relativo all’esercizio 201</w:t>
      </w:r>
      <w:r w:rsidR="007355AE">
        <w:t>4</w:t>
      </w:r>
      <w:r>
        <w:t xml:space="preserve"> è pari a </w:t>
      </w:r>
      <w:r w:rsidRPr="003457DA">
        <w:t xml:space="preserve">Euro </w:t>
      </w:r>
      <w:r w:rsidR="00E92C14" w:rsidRPr="003457DA">
        <w:t>14.000</w:t>
      </w:r>
      <w:r w:rsidR="00997A82">
        <w:t xml:space="preserve"> per ciascuno.</w:t>
      </w:r>
    </w:p>
    <w:p w:rsidR="003C53D3" w:rsidRDefault="003C53D3" w:rsidP="003C53D3"/>
    <w:p w:rsidR="006F1B5A" w:rsidRPr="001930E1" w:rsidRDefault="006F1B5A" w:rsidP="001930E1">
      <w:pPr>
        <w:spacing w:before="120" w:after="120"/>
        <w:jc w:val="both"/>
      </w:pPr>
    </w:p>
    <w:p w:rsidR="000D1B1E" w:rsidRDefault="000A0CF7" w:rsidP="00D8549B">
      <w:pPr>
        <w:pStyle w:val="Titolo2"/>
        <w:spacing w:before="0" w:after="240"/>
      </w:pPr>
      <w:r w:rsidRPr="000A0CF7">
        <w:rPr>
          <w:rFonts w:ascii="Times New Roman" w:hAnsi="Times New Roman" w:cs="Times New Roman"/>
          <w:i w:val="0"/>
          <w:sz w:val="24"/>
          <w:szCs w:val="24"/>
        </w:rPr>
        <w:t>1.</w:t>
      </w:r>
      <w:r w:rsidR="001D595E">
        <w:rPr>
          <w:rFonts w:ascii="Times New Roman" w:hAnsi="Times New Roman" w:cs="Times New Roman"/>
          <w:i w:val="0"/>
          <w:sz w:val="24"/>
          <w:szCs w:val="24"/>
        </w:rPr>
        <w:t>3</w:t>
      </w:r>
      <w:r w:rsidRPr="000A0CF7">
        <w:rPr>
          <w:rFonts w:ascii="Times New Roman" w:hAnsi="Times New Roman" w:cs="Times New Roman"/>
          <w:i w:val="0"/>
          <w:sz w:val="24"/>
          <w:szCs w:val="24"/>
        </w:rPr>
        <w:tab/>
      </w:r>
      <w:r w:rsidRPr="00B77ABC">
        <w:rPr>
          <w:rFonts w:ascii="Times New Roman" w:hAnsi="Times New Roman" w:cs="Times New Roman"/>
          <w:i w:val="0"/>
          <w:sz w:val="24"/>
          <w:szCs w:val="24"/>
        </w:rPr>
        <w:t>Accordi che prevedono indennità</w:t>
      </w:r>
      <w:r w:rsidRPr="000A0CF7">
        <w:rPr>
          <w:rFonts w:ascii="Times New Roman" w:hAnsi="Times New Roman" w:cs="Times New Roman"/>
          <w:i w:val="0"/>
          <w:sz w:val="24"/>
          <w:szCs w:val="24"/>
        </w:rPr>
        <w:t xml:space="preserve"> in caso di scioglimento anticipato del rapporto</w:t>
      </w:r>
    </w:p>
    <w:p w:rsidR="000D1B1E" w:rsidRPr="000A0CF7" w:rsidRDefault="00997A82" w:rsidP="00D8549B">
      <w:pPr>
        <w:spacing w:after="240"/>
        <w:ind w:firstLine="708"/>
        <w:jc w:val="both"/>
        <w:rPr>
          <w:b/>
        </w:rPr>
      </w:pPr>
      <w:r>
        <w:t>Come già precisato, in</w:t>
      </w:r>
      <w:r w:rsidR="007166B3">
        <w:t xml:space="preserve"> riferimento particolare agli Amministratori esecutivi, non</w:t>
      </w:r>
      <w:r w:rsidR="000A0CF7" w:rsidRPr="000A0CF7">
        <w:t xml:space="preserve"> sono in essere accordi specifici che preved</w:t>
      </w:r>
      <w:r w:rsidR="00D8549B">
        <w:t>a</w:t>
      </w:r>
      <w:r w:rsidR="000A0CF7" w:rsidRPr="000A0CF7">
        <w:t>no indennità in caso di scioglimento anticipato del rapporto.</w:t>
      </w:r>
    </w:p>
    <w:p w:rsidR="00997A82" w:rsidRPr="005B652B" w:rsidRDefault="00997A82" w:rsidP="00D8549B">
      <w:pPr>
        <w:spacing w:after="240"/>
        <w:ind w:firstLine="708"/>
        <w:jc w:val="both"/>
      </w:pPr>
      <w:r w:rsidRPr="005B652B">
        <w:t xml:space="preserve">Per tale ragione </w:t>
      </w:r>
      <w:r>
        <w:t>nessun emolumento è stato corrisposto nell’esercizio al richiamato titolo, né è maturato in vista di future erogazioni.</w:t>
      </w:r>
    </w:p>
    <w:p w:rsidR="000D1B1E" w:rsidRPr="005B652B" w:rsidRDefault="000D1B1E" w:rsidP="00D8549B">
      <w:pPr>
        <w:spacing w:after="240"/>
        <w:jc w:val="both"/>
      </w:pPr>
    </w:p>
    <w:p w:rsidR="000D1B1E" w:rsidRPr="005B652B" w:rsidRDefault="000D1B1E" w:rsidP="000D1B1E">
      <w:pPr>
        <w:jc w:val="both"/>
      </w:pPr>
    </w:p>
    <w:p w:rsidR="000D1B1E" w:rsidRDefault="000D1B1E" w:rsidP="000D1B1E">
      <w:pPr>
        <w:jc w:val="both"/>
        <w:rPr>
          <w:b/>
        </w:rPr>
      </w:pPr>
    </w:p>
    <w:p w:rsidR="000D1B1E" w:rsidRDefault="000D1B1E" w:rsidP="000D1B1E">
      <w:pPr>
        <w:jc w:val="both"/>
        <w:rPr>
          <w:b/>
        </w:rPr>
      </w:pPr>
    </w:p>
    <w:p w:rsidR="000D1B1E" w:rsidRDefault="000D1B1E" w:rsidP="000D1B1E">
      <w:pPr>
        <w:jc w:val="both"/>
        <w:rPr>
          <w:b/>
        </w:rPr>
      </w:pPr>
    </w:p>
    <w:p w:rsidR="00DE24E5" w:rsidRPr="00E92C14" w:rsidRDefault="00DE24E5" w:rsidP="00DE24E5">
      <w:pPr>
        <w:pStyle w:val="Titolo1"/>
        <w:spacing w:before="120" w:after="120"/>
        <w:jc w:val="both"/>
        <w:rPr>
          <w:rFonts w:ascii="Times New Roman" w:hAnsi="Times New Roman" w:cs="Times New Roman"/>
          <w:smallCaps/>
        </w:rPr>
      </w:pPr>
      <w:r w:rsidRPr="00B77ABC">
        <w:br w:type="page"/>
      </w:r>
      <w:bookmarkStart w:id="10" w:name="_Toc320606128"/>
      <w:r w:rsidRPr="00E92C14">
        <w:rPr>
          <w:rFonts w:ascii="Times New Roman" w:hAnsi="Times New Roman" w:cs="Times New Roman"/>
          <w:smallCaps/>
        </w:rPr>
        <w:t>Seconda Parte - Tabelle</w:t>
      </w:r>
      <w:bookmarkEnd w:id="10"/>
    </w:p>
    <w:p w:rsidR="00DE24E5" w:rsidRPr="00713259" w:rsidRDefault="00DE24E5" w:rsidP="00DE24E5">
      <w:pPr>
        <w:spacing w:before="120" w:after="120"/>
        <w:jc w:val="both"/>
        <w:rPr>
          <w:sz w:val="22"/>
          <w:szCs w:val="22"/>
        </w:rPr>
      </w:pPr>
      <w:r w:rsidRPr="00E92C14">
        <w:t>Nelle seguenti tabelle sono indicati analiticamente i compensi per i componenti del Consiglio di Amministrazione e del Collegio Sindacale</w:t>
      </w:r>
      <w:r w:rsidR="007166B3">
        <w:t>,</w:t>
      </w:r>
      <w:r w:rsidR="00E92C14" w:rsidRPr="00B77ABC">
        <w:t xml:space="preserve"> </w:t>
      </w:r>
      <w:r w:rsidRPr="00E92C14">
        <w:t>corrisposti o da corrispondere dalla Società e da società controllate e collegate con riferimento all’esercizio 201</w:t>
      </w:r>
      <w:r w:rsidR="007355AE">
        <w:t>4</w:t>
      </w:r>
      <w:r w:rsidRPr="00713259">
        <w:rPr>
          <w:sz w:val="22"/>
          <w:szCs w:val="22"/>
        </w:rPr>
        <w:t>.</w:t>
      </w:r>
    </w:p>
    <w:p w:rsidR="00DE24E5" w:rsidRDefault="00DE24E5" w:rsidP="00DE24E5">
      <w:pPr>
        <w:sectPr w:rsidR="00DE24E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F2C84" w:rsidRDefault="00DE24E5" w:rsidP="00B87BF0">
      <w:pPr>
        <w:autoSpaceDE w:val="0"/>
        <w:autoSpaceDN w:val="0"/>
        <w:adjustRightInd w:val="0"/>
        <w:spacing w:before="100" w:beforeAutospacing="1"/>
        <w:jc w:val="both"/>
        <w:rPr>
          <w:b/>
          <w:sz w:val="22"/>
          <w:szCs w:val="22"/>
        </w:rPr>
      </w:pPr>
      <w:r w:rsidRPr="00713259">
        <w:rPr>
          <w:b/>
          <w:sz w:val="22"/>
          <w:szCs w:val="22"/>
        </w:rPr>
        <w:t>Tabella 1:</w:t>
      </w:r>
      <w:r w:rsidRPr="00713259">
        <w:rPr>
          <w:b/>
          <w:sz w:val="22"/>
          <w:szCs w:val="22"/>
        </w:rPr>
        <w:tab/>
        <w:t>Compensi corrisposti ai componenti del Consiglio di Amministrazione e del Collegio Sindacale</w:t>
      </w:r>
      <w:r w:rsidR="001D7945">
        <w:rPr>
          <w:b/>
          <w:sz w:val="22"/>
          <w:szCs w:val="22"/>
        </w:rPr>
        <w:t xml:space="preserve"> </w:t>
      </w:r>
      <w:r w:rsidRPr="00713259">
        <w:rPr>
          <w:b/>
          <w:sz w:val="22"/>
          <w:szCs w:val="22"/>
        </w:rPr>
        <w:t>nel corso dell’esercizio 201</w:t>
      </w:r>
      <w:r w:rsidR="007355AE">
        <w:rPr>
          <w:b/>
          <w:sz w:val="22"/>
          <w:szCs w:val="22"/>
        </w:rPr>
        <w:t>4</w:t>
      </w:r>
    </w:p>
    <w:tbl>
      <w:tblPr>
        <w:tblpPr w:leftFromText="141" w:rightFromText="141" w:vertAnchor="page" w:horzAnchor="margin" w:tblpX="-459" w:tblpY="2071"/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492"/>
        <w:gridCol w:w="851"/>
        <w:gridCol w:w="1134"/>
        <w:gridCol w:w="992"/>
        <w:gridCol w:w="992"/>
        <w:gridCol w:w="1402"/>
        <w:gridCol w:w="1229"/>
        <w:gridCol w:w="1055"/>
        <w:gridCol w:w="1134"/>
        <w:gridCol w:w="1134"/>
        <w:gridCol w:w="1091"/>
        <w:gridCol w:w="1602"/>
      </w:tblGrid>
      <w:tr w:rsidR="00D37C1F" w:rsidRPr="00713259" w:rsidTr="00D37C1F">
        <w:trPr>
          <w:trHeight w:val="48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Nome e cognome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Carica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Periodo per cui è stata ricoperta la carica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Scadenza della carica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Compensi fissi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Compensi per la partecipazione a comitati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Compensi variabili non equity </w:t>
            </w:r>
            <w:r w:rsidR="006409F8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Benefici non monetari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Altri compensi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Totale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Fair Value dei compensi equity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713259">
              <w:rPr>
                <w:b/>
                <w:color w:val="auto"/>
                <w:sz w:val="16"/>
                <w:szCs w:val="16"/>
              </w:rPr>
              <w:t xml:space="preserve">Indennità di fine carica o di cessazione del rapporto di lavoro </w:t>
            </w:r>
          </w:p>
        </w:tc>
      </w:tr>
      <w:tr w:rsidR="00D37C1F" w:rsidRPr="00713259" w:rsidTr="00D37C1F">
        <w:trPr>
          <w:trHeight w:val="48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333F24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  <w:vertAlign w:val="superscript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Bonus e altri incentivi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Partecipazione agli utili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D37C1F" w:rsidRPr="00713259" w:rsidTr="00D37C1F">
        <w:trPr>
          <w:trHeight w:val="78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D37C1F" w:rsidRDefault="00D37C1F" w:rsidP="009F2E72">
            <w:pPr>
              <w:pStyle w:val="Default"/>
              <w:spacing w:before="120" w:after="120"/>
              <w:rPr>
                <w:b/>
                <w:i/>
                <w:color w:val="auto"/>
                <w:sz w:val="18"/>
                <w:szCs w:val="18"/>
              </w:rPr>
            </w:pPr>
            <w:r w:rsidRPr="009F2E72">
              <w:rPr>
                <w:b/>
                <w:i/>
                <w:color w:val="auto"/>
                <w:sz w:val="18"/>
                <w:szCs w:val="18"/>
              </w:rPr>
              <w:t>1) Compensi nella società che redige il bilancio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Emilio Bolzoni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Presidente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230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230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Roberto Scotti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Amm.Delegato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230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7F2B9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4929C2" w:rsidDel="00A96A53" w:rsidRDefault="009F2E72" w:rsidP="007D4AB6">
            <w:pPr>
              <w:pStyle w:val="Default"/>
              <w:spacing w:before="120" w:after="120"/>
              <w:jc w:val="right"/>
              <w:rPr>
                <w:strike/>
                <w:color w:val="auto"/>
                <w:sz w:val="16"/>
                <w:szCs w:val="16"/>
              </w:rPr>
            </w:pPr>
            <w:r w:rsidRPr="009F2E72">
              <w:rPr>
                <w:strike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9F2E7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</w:t>
            </w:r>
            <w:r w:rsidR="007F2B99">
              <w:rPr>
                <w:color w:val="auto"/>
                <w:sz w:val="16"/>
                <w:szCs w:val="16"/>
              </w:rPr>
              <w:t>3</w:t>
            </w:r>
            <w:r w:rsidR="007009F2" w:rsidRPr="009F2E72">
              <w:rPr>
                <w:color w:val="auto"/>
                <w:sz w:val="16"/>
                <w:szCs w:val="16"/>
              </w:rPr>
              <w:t>0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="007009F2"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009F2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Luigi Pisani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Franco Bolzoni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24173B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Pierluigi Magnelli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24173B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Davide Turco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201</w:t>
            </w:r>
            <w:r w:rsidR="007355AE" w:rsidRPr="00EA3B0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311B1E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Dimissioni del 29.4.2014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EA3B0E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45647">
              <w:rPr>
                <w:color w:val="auto"/>
                <w:sz w:val="16"/>
                <w:szCs w:val="16"/>
              </w:rPr>
              <w:t>9.200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A3B0E" w:rsidDel="00A96A53" w:rsidRDefault="00EA3B0E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9.200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Karl Peter Staack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D37C1F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Raimondo Cinti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Giovanni Salsi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Paolo Mazzoni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8B68D9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Claudio Berretti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Consigliere </w:t>
            </w:r>
            <w:r w:rsidR="00090EAF">
              <w:rPr>
                <w:color w:val="auto"/>
                <w:sz w:val="16"/>
                <w:szCs w:val="16"/>
              </w:rPr>
              <w:t>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377628" w:rsidRDefault="00B6440B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9F2E72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9F2E72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9F2E72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9F2E72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9F2E72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9F2E72" w:rsidRDefault="00B6440B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Giorgio Picone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Presidente  Collegio Sindacale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7D60F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25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9F2E72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9F2E72">
              <w:rPr>
                <w:color w:val="auto"/>
                <w:sz w:val="16"/>
                <w:szCs w:val="16"/>
              </w:rPr>
              <w:t>25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9F2E72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Maria Gabriella Anelli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Sindaco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7D60F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Carlo Baldi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Sindaco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D37C1F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7D60F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377628" w:rsidDel="00A96A53" w:rsidRDefault="00D37C1F" w:rsidP="00D37C1F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D37C1F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D37C1F" w:rsidRPr="00713259" w:rsidTr="00CB5892">
        <w:trPr>
          <w:trHeight w:val="78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EE74CC" w:rsidDel="00A96A53" w:rsidRDefault="00D37C1F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(</w:t>
            </w:r>
            <w:r w:rsidRPr="00EE74CC">
              <w:rPr>
                <w:b/>
                <w:i/>
                <w:color w:val="auto"/>
                <w:sz w:val="18"/>
                <w:szCs w:val="18"/>
              </w:rPr>
              <w:t>II) Compensi da controllate e collegate</w:t>
            </w:r>
          </w:p>
        </w:tc>
      </w:tr>
      <w:tr w:rsidR="004045F3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RDefault="004045F3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Emilio Bolzoni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RDefault="007009F2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Presidente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RDefault="004045F3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Del="00A96A53" w:rsidRDefault="0089551C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A revoca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2" w:rsidRPr="00B94917" w:rsidRDefault="00377628" w:rsidP="00D9656D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33</w:t>
            </w:r>
            <w:r w:rsidR="00231CBB" w:rsidRPr="006D1E6A">
              <w:rPr>
                <w:color w:val="auto"/>
                <w:sz w:val="16"/>
                <w:szCs w:val="16"/>
              </w:rPr>
              <w:t>.</w:t>
            </w:r>
            <w:r w:rsidRPr="006D1E6A">
              <w:rPr>
                <w:color w:val="auto"/>
                <w:sz w:val="16"/>
                <w:szCs w:val="16"/>
              </w:rPr>
              <w:t>000</w:t>
            </w:r>
            <w:r w:rsidR="00B00247" w:rsidRPr="006D1E6A">
              <w:rPr>
                <w:color w:val="auto"/>
                <w:sz w:val="16"/>
                <w:szCs w:val="16"/>
                <w:vertAlign w:val="superscript"/>
              </w:rPr>
              <w:t>(*</w:t>
            </w:r>
            <w:r w:rsidR="00B00247" w:rsidRPr="00B94917">
              <w:rPr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Del="00A96A53" w:rsidRDefault="00377628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33</w:t>
            </w:r>
            <w:r w:rsidR="00231CBB" w:rsidRPr="006D1E6A">
              <w:rPr>
                <w:color w:val="auto"/>
                <w:sz w:val="16"/>
                <w:szCs w:val="16"/>
              </w:rPr>
              <w:t>.</w:t>
            </w:r>
            <w:r w:rsidRPr="006D1E6A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4045F3" w:rsidRPr="00713259" w:rsidTr="00B00247">
        <w:trPr>
          <w:trHeight w:val="4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RDefault="004045F3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Roberto Scotti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RDefault="004045F3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Amm.Delegato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RDefault="004045F3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201</w:t>
            </w:r>
            <w:r w:rsidR="007355A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EE74CC" w:rsidDel="00A96A53" w:rsidRDefault="0089551C" w:rsidP="004045F3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E74CC">
              <w:rPr>
                <w:color w:val="auto"/>
                <w:sz w:val="16"/>
                <w:szCs w:val="16"/>
              </w:rPr>
              <w:t>A revoca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2" w:rsidRPr="006D1E6A" w:rsidRDefault="00EE74C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88743F">
              <w:rPr>
                <w:color w:val="auto"/>
                <w:sz w:val="16"/>
                <w:szCs w:val="16"/>
              </w:rPr>
              <w:t xml:space="preserve"> 33</w:t>
            </w:r>
            <w:r w:rsidR="00231CBB" w:rsidRPr="0088743F">
              <w:rPr>
                <w:color w:val="auto"/>
                <w:sz w:val="16"/>
                <w:szCs w:val="16"/>
              </w:rPr>
              <w:t>.</w:t>
            </w:r>
            <w:r w:rsidR="00377628" w:rsidRPr="0088743F">
              <w:rPr>
                <w:color w:val="auto"/>
                <w:sz w:val="16"/>
                <w:szCs w:val="16"/>
              </w:rPr>
              <w:t>000</w:t>
            </w:r>
            <w:r w:rsidR="00B00247" w:rsidRPr="00B56321">
              <w:rPr>
                <w:color w:val="auto"/>
                <w:sz w:val="16"/>
                <w:szCs w:val="16"/>
              </w:rPr>
              <w:t>(</w:t>
            </w:r>
            <w:r w:rsidR="00B00247" w:rsidRPr="006D1E6A">
              <w:rPr>
                <w:color w:val="auto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6D1E6A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345647" w:rsidDel="00A96A53" w:rsidRDefault="00EE74C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6D1E6A">
              <w:rPr>
                <w:color w:val="auto"/>
                <w:sz w:val="16"/>
                <w:szCs w:val="16"/>
              </w:rPr>
              <w:t>33</w:t>
            </w:r>
            <w:r w:rsidR="00231CBB" w:rsidRPr="006D1E6A">
              <w:rPr>
                <w:color w:val="auto"/>
                <w:sz w:val="16"/>
                <w:szCs w:val="16"/>
              </w:rPr>
              <w:t>.</w:t>
            </w:r>
            <w:r w:rsidR="00377628" w:rsidRPr="006D1E6A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F3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CB5892">
        <w:trPr>
          <w:trHeight w:val="78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4929C2" w:rsidDel="00A96A53" w:rsidRDefault="007D4AB6" w:rsidP="007D4AB6">
            <w:pPr>
              <w:pStyle w:val="Default"/>
              <w:spacing w:before="120" w:after="120"/>
              <w:rPr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EE74CC">
              <w:rPr>
                <w:b/>
                <w:i/>
                <w:color w:val="auto"/>
                <w:sz w:val="18"/>
                <w:szCs w:val="18"/>
              </w:rPr>
              <w:t>(III) Totale</w:t>
            </w:r>
            <w:r w:rsidR="00D247DC" w:rsidRPr="00EE74CC">
              <w:rPr>
                <w:b/>
                <w:i/>
                <w:color w:val="auto"/>
                <w:sz w:val="18"/>
                <w:szCs w:val="18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Emilio Bolzoni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Presidente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49117E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49117E">
              <w:rPr>
                <w:color w:val="auto"/>
                <w:sz w:val="16"/>
                <w:szCs w:val="16"/>
              </w:rPr>
              <w:t>2</w:t>
            </w:r>
            <w:r w:rsidR="00377628" w:rsidRPr="0049117E">
              <w:rPr>
                <w:color w:val="auto"/>
                <w:sz w:val="16"/>
                <w:szCs w:val="16"/>
              </w:rPr>
              <w:t>63</w:t>
            </w:r>
            <w:r w:rsidR="00231CBB" w:rsidRPr="0049117E">
              <w:rPr>
                <w:color w:val="auto"/>
                <w:sz w:val="16"/>
                <w:szCs w:val="16"/>
              </w:rPr>
              <w:t>.</w:t>
            </w:r>
            <w:r w:rsidRPr="0049117E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413021" w:rsidDel="00A96A53" w:rsidRDefault="00377628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49117E">
              <w:rPr>
                <w:color w:val="auto"/>
                <w:sz w:val="16"/>
                <w:szCs w:val="16"/>
              </w:rPr>
              <w:t>263</w:t>
            </w:r>
            <w:r w:rsidR="00231CBB" w:rsidRPr="0049117E">
              <w:rPr>
                <w:color w:val="auto"/>
                <w:sz w:val="16"/>
                <w:szCs w:val="16"/>
              </w:rPr>
              <w:t>.</w:t>
            </w:r>
            <w:r w:rsidR="007009F2" w:rsidRPr="0049117E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Roberto Scotti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Amm.Delegato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49117E" w:rsidRDefault="00EE74C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49117E">
              <w:rPr>
                <w:color w:val="auto"/>
                <w:sz w:val="16"/>
                <w:szCs w:val="16"/>
              </w:rPr>
              <w:t>263</w:t>
            </w:r>
            <w:r w:rsidR="00231CBB" w:rsidRPr="0049117E">
              <w:rPr>
                <w:color w:val="auto"/>
                <w:sz w:val="16"/>
                <w:szCs w:val="16"/>
              </w:rPr>
              <w:t>.</w:t>
            </w:r>
            <w:r w:rsidRPr="0049117E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F2B9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413021" w:rsidDel="00A96A53" w:rsidRDefault="00585F9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  <w:r w:rsidR="00EE74CC" w:rsidRPr="0049117E">
              <w:rPr>
                <w:color w:val="auto"/>
                <w:sz w:val="16"/>
                <w:szCs w:val="16"/>
              </w:rPr>
              <w:t>3</w:t>
            </w:r>
            <w:r w:rsidR="00231CBB" w:rsidRPr="0049117E">
              <w:rPr>
                <w:color w:val="auto"/>
                <w:sz w:val="16"/>
                <w:szCs w:val="16"/>
              </w:rPr>
              <w:t>.</w:t>
            </w:r>
            <w:r w:rsidR="00EE74CC" w:rsidRPr="0049117E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Luigi Pisani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Franco Bolzoni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24173B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Pierluigi Magnelli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24173B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Davide Turco</w:t>
            </w:r>
            <w:r w:rsidR="006D1E6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201</w:t>
            </w:r>
            <w:r w:rsidR="007F2B99" w:rsidRPr="00EA3B0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Del="00A96A53" w:rsidRDefault="00311B1E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Dimissioni del 29.4.2014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EA3B0E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45647">
              <w:rPr>
                <w:color w:val="auto"/>
                <w:sz w:val="16"/>
                <w:szCs w:val="16"/>
              </w:rPr>
              <w:t>9.200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EA3B0E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EA3B0E" w:rsidDel="00A96A53" w:rsidRDefault="00EA3B0E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45647">
              <w:rPr>
                <w:color w:val="auto"/>
                <w:sz w:val="16"/>
                <w:szCs w:val="16"/>
              </w:rPr>
              <w:t>9.200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Karl Peter Staack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 w:rsidRPr="00D37C1F">
              <w:rPr>
                <w:color w:val="auto"/>
                <w:sz w:val="16"/>
                <w:szCs w:val="16"/>
              </w:rPr>
              <w:t>Consigliere non esecutivo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Raimondo Cinti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Giovanni Salsi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Paolo Mazzoni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8B68D9">
              <w:rPr>
                <w:color w:val="auto"/>
                <w:sz w:val="16"/>
                <w:szCs w:val="16"/>
              </w:rPr>
              <w:t>4</w:t>
            </w:r>
            <w:r w:rsidR="00D247DC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8B68D9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Claudio Berretti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Consigliere indipendente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377628" w:rsidRDefault="00C230F3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Pr="00713259" w:rsidDel="00A96A53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377628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="008B68D9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D9" w:rsidRDefault="008B68D9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Giorgio Picone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Presidente  Collegio Sindacale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7D60F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009F2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25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Maria Gabriella Anelli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Sindaco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7D60F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009F2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Carlo Baldi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Sindaco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 w:rsidR="007F2B9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Appr.bilancio 201</w:t>
            </w:r>
            <w:r w:rsidR="007D60F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377628" w:rsidRDefault="007D4AB6" w:rsidP="007009F2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 w:rsidRPr="00377628"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 w:rsidRPr="00377628"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231CBB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713259" w:rsidDel="00A96A53" w:rsidRDefault="00D247DC" w:rsidP="007D4AB6">
            <w:pPr>
              <w:pStyle w:val="Default"/>
              <w:spacing w:before="120" w:after="12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7D4AB6" w:rsidRPr="00713259" w:rsidTr="00D37C1F">
        <w:trPr>
          <w:trHeight w:val="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D247DC" w:rsidP="007D4AB6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(III) TOTALE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7D4AB6" w:rsidP="007D4AB6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7D4AB6" w:rsidP="007D4AB6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Del="00A96A53" w:rsidRDefault="007D4AB6" w:rsidP="007D4AB6">
            <w:pPr>
              <w:pStyle w:val="Default"/>
              <w:spacing w:before="120" w:after="12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DE71C6" w:rsidRDefault="00585F96" w:rsidP="007009F2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812.200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D247DC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7F2B99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D247DC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Del="00A96A53" w:rsidRDefault="00377628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Del="00A96A53" w:rsidRDefault="006409F8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DE71C6" w:rsidDel="00A96A53" w:rsidRDefault="00585F96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812.200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RDefault="00D247DC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967F63" w:rsidDel="00A96A53" w:rsidRDefault="00D247DC" w:rsidP="00D247DC">
            <w:pPr>
              <w:pStyle w:val="Default"/>
              <w:spacing w:before="120" w:after="120"/>
              <w:jc w:val="right"/>
              <w:rPr>
                <w:b/>
                <w:color w:val="auto"/>
                <w:sz w:val="16"/>
                <w:szCs w:val="16"/>
              </w:rPr>
            </w:pPr>
            <w:r w:rsidRPr="00967F63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</w:tbl>
    <w:p w:rsidR="00DE24E5" w:rsidRPr="00713259" w:rsidRDefault="00D37C1F" w:rsidP="00DE24E5">
      <w:pPr>
        <w:autoSpaceDE w:val="0"/>
        <w:autoSpaceDN w:val="0"/>
        <w:adjustRightInd w:val="0"/>
        <w:jc w:val="both"/>
      </w:pPr>
      <w:r>
        <w:t xml:space="preserve"> </w:t>
      </w:r>
      <w:r w:rsidR="00C17EC6">
        <w:t>(</w:t>
      </w:r>
      <w:r w:rsidR="00C17EC6" w:rsidRPr="00C17EC6">
        <w:rPr>
          <w:sz w:val="16"/>
          <w:szCs w:val="16"/>
        </w:rPr>
        <w:t xml:space="preserve">dati espressi in </w:t>
      </w:r>
      <w:r w:rsidR="00B00247" w:rsidRPr="00C17EC6">
        <w:rPr>
          <w:sz w:val="16"/>
          <w:szCs w:val="16"/>
        </w:rPr>
        <w:t>Euro</w:t>
      </w:r>
      <w:r w:rsidR="00C17EC6" w:rsidRPr="00C17EC6">
        <w:rPr>
          <w:sz w:val="16"/>
          <w:szCs w:val="16"/>
        </w:rPr>
        <w:t>)</w:t>
      </w:r>
    </w:p>
    <w:p w:rsidR="00DE24E5" w:rsidRDefault="00DE24E5" w:rsidP="00DE24E5">
      <w:pPr>
        <w:autoSpaceDE w:val="0"/>
        <w:autoSpaceDN w:val="0"/>
        <w:adjustRightInd w:val="0"/>
        <w:jc w:val="both"/>
      </w:pPr>
    </w:p>
    <w:p w:rsidR="006409F8" w:rsidRPr="00F64BFD" w:rsidRDefault="006409F8" w:rsidP="00DE24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4BFD">
        <w:rPr>
          <w:sz w:val="20"/>
          <w:szCs w:val="20"/>
        </w:rPr>
        <w:t>NOTE</w:t>
      </w:r>
    </w:p>
    <w:p w:rsidR="006409F8" w:rsidRPr="00F64BFD" w:rsidRDefault="006409F8" w:rsidP="00DE24E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B08AF" w:rsidRPr="00F64BFD" w:rsidRDefault="006409F8" w:rsidP="00B87BF0">
      <w:pPr>
        <w:autoSpaceDE w:val="0"/>
        <w:autoSpaceDN w:val="0"/>
        <w:adjustRightInd w:val="0"/>
        <w:ind w:left="2700" w:hanging="2700"/>
        <w:jc w:val="both"/>
        <w:rPr>
          <w:sz w:val="20"/>
          <w:szCs w:val="20"/>
        </w:rPr>
      </w:pPr>
      <w:r w:rsidRPr="0049117E">
        <w:rPr>
          <w:i/>
          <w:sz w:val="20"/>
          <w:szCs w:val="20"/>
        </w:rPr>
        <w:t>Compensi variabili non equity:</w:t>
      </w:r>
      <w:r w:rsidRPr="0049117E">
        <w:rPr>
          <w:sz w:val="20"/>
          <w:szCs w:val="20"/>
        </w:rPr>
        <w:t xml:space="preserve">  </w:t>
      </w:r>
      <w:r w:rsidR="00B87BF0" w:rsidRPr="0049117E">
        <w:rPr>
          <w:sz w:val="20"/>
          <w:szCs w:val="20"/>
        </w:rPr>
        <w:tab/>
      </w:r>
      <w:r w:rsidR="00BB08AF" w:rsidRPr="0049117E">
        <w:rPr>
          <w:sz w:val="20"/>
          <w:szCs w:val="20"/>
        </w:rPr>
        <w:t>Nel 201</w:t>
      </w:r>
      <w:r w:rsidR="007F2B99" w:rsidRPr="0049117E">
        <w:rPr>
          <w:sz w:val="20"/>
          <w:szCs w:val="20"/>
        </w:rPr>
        <w:t>4</w:t>
      </w:r>
      <w:r w:rsidR="00BB08AF" w:rsidRPr="0049117E">
        <w:rPr>
          <w:sz w:val="20"/>
          <w:szCs w:val="20"/>
        </w:rPr>
        <w:t xml:space="preserve"> gli incentivi per l’amministratore delegato, essendo basati sul raggiungimento di un determinato valore percentuale di Ebitda, non </w:t>
      </w:r>
      <w:r w:rsidR="00D041B3" w:rsidRPr="0049117E">
        <w:rPr>
          <w:sz w:val="20"/>
          <w:szCs w:val="20"/>
        </w:rPr>
        <w:t>s</w:t>
      </w:r>
      <w:r w:rsidR="00BB08AF" w:rsidRPr="0049117E">
        <w:rPr>
          <w:sz w:val="20"/>
          <w:szCs w:val="20"/>
        </w:rPr>
        <w:t>ono stati raggiunti.</w:t>
      </w:r>
    </w:p>
    <w:p w:rsidR="00BB08AF" w:rsidRPr="00F64BFD" w:rsidRDefault="00BB08AF" w:rsidP="00DE24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09F8" w:rsidRPr="004929C2" w:rsidRDefault="007F2B99" w:rsidP="00DE24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4BFD" w:rsidDel="007F2B99">
        <w:rPr>
          <w:sz w:val="20"/>
          <w:szCs w:val="20"/>
          <w:vertAlign w:val="superscript"/>
        </w:rPr>
        <w:t xml:space="preserve"> </w:t>
      </w:r>
      <w:r w:rsidR="00B00247" w:rsidRPr="004929C2">
        <w:rPr>
          <w:sz w:val="20"/>
          <w:szCs w:val="20"/>
          <w:vertAlign w:val="superscript"/>
        </w:rPr>
        <w:t>(*)</w:t>
      </w:r>
      <w:r w:rsidR="006409F8" w:rsidRPr="004929C2">
        <w:rPr>
          <w:sz w:val="20"/>
          <w:szCs w:val="20"/>
        </w:rPr>
        <w:tab/>
        <w:t>Il compenso fisso del Presidente da Controllate e Collegate si riferisce ad emolumenti per la carica di amministratore nella controllata Auramo Oy.</w:t>
      </w:r>
    </w:p>
    <w:p w:rsidR="006409F8" w:rsidRDefault="00B00247" w:rsidP="00DE24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29C2">
        <w:rPr>
          <w:sz w:val="20"/>
          <w:szCs w:val="20"/>
          <w:vertAlign w:val="superscript"/>
        </w:rPr>
        <w:t>(**)</w:t>
      </w:r>
      <w:r w:rsidR="006409F8" w:rsidRPr="004929C2">
        <w:rPr>
          <w:sz w:val="20"/>
          <w:szCs w:val="20"/>
        </w:rPr>
        <w:tab/>
        <w:t>Il compenso fisso dell’Amm</w:t>
      </w:r>
      <w:r w:rsidR="00D041B3" w:rsidRPr="004929C2">
        <w:rPr>
          <w:sz w:val="20"/>
          <w:szCs w:val="20"/>
        </w:rPr>
        <w:t>inistratore</w:t>
      </w:r>
      <w:r w:rsidR="006409F8" w:rsidRPr="004929C2">
        <w:rPr>
          <w:sz w:val="20"/>
          <w:szCs w:val="20"/>
        </w:rPr>
        <w:t xml:space="preserve"> Delegato da Controllate e Collegate si riferisce ad emolumenti per la carica di amministratore nella </w:t>
      </w:r>
      <w:r w:rsidR="006409F8" w:rsidRPr="00FF39C3">
        <w:rPr>
          <w:sz w:val="20"/>
          <w:szCs w:val="20"/>
        </w:rPr>
        <w:t xml:space="preserve">controllata </w:t>
      </w:r>
      <w:r w:rsidR="00D041B3" w:rsidRPr="00FF39C3">
        <w:rPr>
          <w:sz w:val="20"/>
          <w:szCs w:val="20"/>
        </w:rPr>
        <w:tab/>
      </w:r>
      <w:r w:rsidR="006409F8" w:rsidRPr="00FF39C3">
        <w:rPr>
          <w:sz w:val="20"/>
          <w:szCs w:val="20"/>
        </w:rPr>
        <w:t xml:space="preserve"> Meyer </w:t>
      </w:r>
      <w:r w:rsidR="00E771E3" w:rsidRPr="00FF39C3">
        <w:rPr>
          <w:sz w:val="20"/>
          <w:szCs w:val="20"/>
        </w:rPr>
        <w:tab/>
      </w:r>
      <w:r w:rsidR="006409F8" w:rsidRPr="00FF39C3">
        <w:rPr>
          <w:sz w:val="20"/>
          <w:szCs w:val="20"/>
        </w:rPr>
        <w:t>GmbH</w:t>
      </w:r>
      <w:r w:rsidR="00D041B3" w:rsidRPr="00FF39C3">
        <w:rPr>
          <w:sz w:val="20"/>
          <w:szCs w:val="20"/>
        </w:rPr>
        <w:t>.</w:t>
      </w:r>
    </w:p>
    <w:p w:rsidR="006409F8" w:rsidRDefault="006409F8" w:rsidP="00DE24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09F8" w:rsidRDefault="006409F8" w:rsidP="00DE24E5">
      <w:pPr>
        <w:rPr>
          <w:sz w:val="22"/>
          <w:szCs w:val="22"/>
        </w:rPr>
      </w:pPr>
    </w:p>
    <w:p w:rsidR="00B00247" w:rsidRDefault="00B00247" w:rsidP="00DE24E5">
      <w:pPr>
        <w:rPr>
          <w:sz w:val="22"/>
          <w:szCs w:val="22"/>
        </w:rPr>
      </w:pPr>
    </w:p>
    <w:p w:rsidR="00503132" w:rsidRDefault="00503132" w:rsidP="00AC2E2B"/>
    <w:p w:rsidR="00503132" w:rsidRDefault="00503132" w:rsidP="00AC2E2B"/>
    <w:p w:rsidR="00503132" w:rsidRDefault="00503132" w:rsidP="00AC2E2B"/>
    <w:p w:rsidR="004929C2" w:rsidRDefault="004929C2" w:rsidP="00AC2E2B"/>
    <w:p w:rsidR="004929C2" w:rsidRDefault="004929C2" w:rsidP="00AC2E2B"/>
    <w:p w:rsidR="004929C2" w:rsidRDefault="004929C2" w:rsidP="00AC2E2B"/>
    <w:p w:rsidR="004D1107" w:rsidRDefault="004D1107" w:rsidP="00AC2E2B"/>
    <w:p w:rsidR="004D1107" w:rsidRDefault="004D1107" w:rsidP="00AC2E2B"/>
    <w:p w:rsidR="004929C2" w:rsidRDefault="004929C2" w:rsidP="00AC2E2B"/>
    <w:p w:rsidR="004929C2" w:rsidRDefault="004929C2" w:rsidP="00AC2E2B"/>
    <w:p w:rsidR="00E45008" w:rsidRDefault="00E45008" w:rsidP="00AC2E2B"/>
    <w:p w:rsidR="00E45008" w:rsidRDefault="00E45008" w:rsidP="00AC2E2B"/>
    <w:p w:rsidR="00311B1E" w:rsidRDefault="00311B1E" w:rsidP="00AC2E2B"/>
    <w:p w:rsidR="00503132" w:rsidRPr="00AC2E2B" w:rsidRDefault="00503132" w:rsidP="00503132">
      <w:pPr>
        <w:spacing w:before="120"/>
        <w:rPr>
          <w:b/>
          <w:sz w:val="22"/>
          <w:szCs w:val="22"/>
        </w:rPr>
      </w:pPr>
      <w:r w:rsidRPr="00AC2E2B">
        <w:rPr>
          <w:b/>
          <w:sz w:val="22"/>
          <w:szCs w:val="22"/>
        </w:rPr>
        <w:t xml:space="preserve">TABELLA 3B:  </w:t>
      </w:r>
      <w:r w:rsidRPr="00AC2E2B">
        <w:rPr>
          <w:b/>
          <w:sz w:val="22"/>
          <w:szCs w:val="22"/>
        </w:rPr>
        <w:tab/>
        <w:t>Piani di incentivazione monetari a favore dei componenti dell’organo di amministrazione</w:t>
      </w:r>
    </w:p>
    <w:p w:rsidR="00503132" w:rsidRDefault="00503132" w:rsidP="00503132">
      <w:pPr>
        <w:spacing w:before="120"/>
        <w:jc w:val="right"/>
      </w:pPr>
    </w:p>
    <w:p w:rsidR="00503132" w:rsidRDefault="00503132" w:rsidP="00503132">
      <w:pPr>
        <w:spacing w:before="120"/>
        <w:jc w:val="right"/>
      </w:pPr>
    </w:p>
    <w:p w:rsidR="00503132" w:rsidRDefault="00503132" w:rsidP="00503132">
      <w:pPr>
        <w:spacing w:before="1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479"/>
        <w:gridCol w:w="1443"/>
        <w:gridCol w:w="1443"/>
        <w:gridCol w:w="1443"/>
        <w:gridCol w:w="1452"/>
        <w:gridCol w:w="1443"/>
        <w:gridCol w:w="1443"/>
      </w:tblGrid>
      <w:tr w:rsidR="00503132" w:rsidTr="004D1107">
        <w:trPr>
          <w:trHeight w:val="599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Carica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Piano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Bonus dell’anno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Bonus di anni precedenti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Altri Bonus</w:t>
            </w:r>
          </w:p>
        </w:tc>
      </w:tr>
      <w:tr w:rsidR="00503132" w:rsidTr="004D1107">
        <w:tc>
          <w:tcPr>
            <w:tcW w:w="1442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Erogabile/Erogato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Differito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503132" w:rsidRPr="004D1107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Periodo di differimento</w:t>
            </w:r>
          </w:p>
        </w:tc>
        <w:tc>
          <w:tcPr>
            <w:tcW w:w="1443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Non più erogabili</w:t>
            </w:r>
          </w:p>
        </w:tc>
        <w:tc>
          <w:tcPr>
            <w:tcW w:w="1452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Erogabili/Erogato</w:t>
            </w:r>
          </w:p>
        </w:tc>
        <w:tc>
          <w:tcPr>
            <w:tcW w:w="1443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  <w:r w:rsidRPr="004D1107">
              <w:rPr>
                <w:b/>
                <w:sz w:val="16"/>
                <w:szCs w:val="16"/>
              </w:rPr>
              <w:t>Ancora differiti</w:t>
            </w:r>
          </w:p>
        </w:tc>
        <w:tc>
          <w:tcPr>
            <w:tcW w:w="1443" w:type="dxa"/>
            <w:shd w:val="clear" w:color="auto" w:fill="A6A6A6"/>
          </w:tcPr>
          <w:p w:rsidR="00503132" w:rsidRPr="004D1107" w:rsidRDefault="00503132" w:rsidP="00437DC6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</w:tr>
      <w:tr w:rsidR="00503132" w:rsidTr="004D1107">
        <w:trPr>
          <w:trHeight w:val="605"/>
        </w:trPr>
        <w:tc>
          <w:tcPr>
            <w:tcW w:w="14472" w:type="dxa"/>
            <w:gridSpan w:val="10"/>
            <w:shd w:val="clear" w:color="auto" w:fill="auto"/>
            <w:vAlign w:val="center"/>
          </w:tcPr>
          <w:p w:rsidR="00503132" w:rsidRPr="00437DC6" w:rsidRDefault="00503132" w:rsidP="00437DC6">
            <w:pPr>
              <w:spacing w:before="120"/>
              <w:rPr>
                <w:b/>
                <w:i/>
                <w:sz w:val="16"/>
                <w:szCs w:val="16"/>
              </w:rPr>
            </w:pPr>
            <w:r w:rsidRPr="00437DC6">
              <w:rPr>
                <w:b/>
                <w:i/>
                <w:sz w:val="16"/>
                <w:szCs w:val="16"/>
              </w:rPr>
              <w:t>1. Compensi nella società che redige il bilancio</w:t>
            </w:r>
          </w:p>
        </w:tc>
      </w:tr>
      <w:tr w:rsidR="005213B5" w:rsidRPr="00437DC6" w:rsidTr="004D1107">
        <w:tc>
          <w:tcPr>
            <w:tcW w:w="1442" w:type="dxa"/>
            <w:shd w:val="clear" w:color="auto" w:fill="auto"/>
            <w:vAlign w:val="center"/>
          </w:tcPr>
          <w:p w:rsidR="005213B5" w:rsidRPr="00377628" w:rsidRDefault="005213B5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213B5" w:rsidRPr="00377628" w:rsidRDefault="005213B5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213B5" w:rsidRPr="00377628" w:rsidRDefault="005213B5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213B5" w:rsidRPr="00377628" w:rsidRDefault="005213B5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213B5" w:rsidRPr="00377628" w:rsidRDefault="005213B5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213B5" w:rsidRPr="00377628" w:rsidRDefault="005213B5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213B5" w:rsidRPr="00377628" w:rsidRDefault="005213B5" w:rsidP="00437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213B5" w:rsidRPr="00377628" w:rsidRDefault="005213B5" w:rsidP="00437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213B5" w:rsidRPr="00377628" w:rsidRDefault="005213B5" w:rsidP="00437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213B5" w:rsidRPr="00377628" w:rsidRDefault="007F2B99" w:rsidP="00437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3132" w:rsidRPr="00437DC6" w:rsidTr="004D1107">
        <w:tc>
          <w:tcPr>
            <w:tcW w:w="1442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03132" w:rsidRPr="00377628" w:rsidRDefault="00503132" w:rsidP="00437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jc w:val="center"/>
              <w:rPr>
                <w:sz w:val="16"/>
                <w:szCs w:val="16"/>
              </w:rPr>
            </w:pPr>
          </w:p>
        </w:tc>
      </w:tr>
      <w:tr w:rsidR="00503132" w:rsidTr="004D1107">
        <w:trPr>
          <w:trHeight w:val="455"/>
        </w:trPr>
        <w:tc>
          <w:tcPr>
            <w:tcW w:w="1442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7628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1442" w:type="dxa"/>
            <w:shd w:val="clear" w:color="auto" w:fill="auto"/>
          </w:tcPr>
          <w:p w:rsidR="00503132" w:rsidRPr="00377628" w:rsidRDefault="00503132" w:rsidP="00437DC6">
            <w:pPr>
              <w:spacing w:before="120"/>
              <w:jc w:val="right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503132" w:rsidRPr="00377628" w:rsidRDefault="00503132" w:rsidP="00437DC6">
            <w:pPr>
              <w:spacing w:before="12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03132" w:rsidRPr="00377628" w:rsidRDefault="00377628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76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76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76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76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503132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76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03132" w:rsidRPr="00377628" w:rsidRDefault="007F2B99" w:rsidP="00437DC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503132" w:rsidRDefault="00503132" w:rsidP="00503132">
      <w:pPr>
        <w:spacing w:before="120"/>
        <w:jc w:val="right"/>
      </w:pPr>
    </w:p>
    <w:p w:rsidR="00503132" w:rsidRDefault="00503132" w:rsidP="00AC2E2B"/>
    <w:p w:rsidR="00503132" w:rsidRDefault="00503132" w:rsidP="00AC2E2B"/>
    <w:p w:rsidR="00503132" w:rsidRDefault="00503132" w:rsidP="00AC2E2B"/>
    <w:p w:rsidR="00503132" w:rsidRDefault="00503132" w:rsidP="00AC2E2B"/>
    <w:p w:rsidR="00503132" w:rsidRDefault="00503132" w:rsidP="00AC2E2B"/>
    <w:p w:rsidR="001370E4" w:rsidRDefault="001370E4" w:rsidP="00AC2E2B"/>
    <w:p w:rsidR="001370E4" w:rsidRDefault="001370E4" w:rsidP="00AC2E2B"/>
    <w:p w:rsidR="001370E4" w:rsidRDefault="001370E4" w:rsidP="00AC2E2B"/>
    <w:p w:rsidR="001370E4" w:rsidRDefault="001370E4" w:rsidP="00AC2E2B"/>
    <w:p w:rsidR="00503132" w:rsidRDefault="00503132" w:rsidP="00AC2E2B"/>
    <w:p w:rsidR="00377628" w:rsidRDefault="00377628" w:rsidP="00AC2E2B"/>
    <w:p w:rsidR="00377628" w:rsidRDefault="00377628" w:rsidP="00AC2E2B"/>
    <w:p w:rsidR="00503132" w:rsidRDefault="00503132" w:rsidP="00AC2E2B"/>
    <w:p w:rsidR="00503132" w:rsidRDefault="00503132" w:rsidP="00AC2E2B"/>
    <w:p w:rsidR="00DE24E5" w:rsidRPr="001D7945" w:rsidRDefault="00DE24E5" w:rsidP="00DE24E5">
      <w:pPr>
        <w:pStyle w:val="Titolo1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Toc320606129"/>
      <w:r w:rsidRPr="00713259">
        <w:rPr>
          <w:rFonts w:ascii="Times New Roman" w:hAnsi="Times New Roman" w:cs="Times New Roman"/>
          <w:sz w:val="22"/>
          <w:szCs w:val="22"/>
        </w:rPr>
        <w:t>SEZIONE III: INFORMAZIONI SULLE PARTECIPAZIONI DEI COMPONENTI DEL CONSIGLIO DI AMMINISTRAZIONE E DEL COLLEGIO SINDACALE</w:t>
      </w:r>
      <w:bookmarkEnd w:id="11"/>
      <w:r w:rsidR="001D79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24E5" w:rsidRPr="00713259" w:rsidRDefault="00DE24E5" w:rsidP="00DE24E5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713259">
        <w:rPr>
          <w:sz w:val="22"/>
          <w:szCs w:val="22"/>
        </w:rPr>
        <w:t xml:space="preserve">Nella seguente tabella sono indicate, nominativamente, le partecipazioni detenute dai componenti del Consiglio di Amministrazione e del Collegio Sindacale in </w:t>
      </w:r>
      <w:r w:rsidR="003B0E35">
        <w:rPr>
          <w:sz w:val="22"/>
          <w:szCs w:val="22"/>
        </w:rPr>
        <w:t>Bolzoni</w:t>
      </w:r>
      <w:r w:rsidRPr="00713259">
        <w:rPr>
          <w:sz w:val="22"/>
          <w:szCs w:val="22"/>
        </w:rPr>
        <w:t xml:space="preserve"> e nelle società da questa controllate.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097"/>
        <w:gridCol w:w="2071"/>
        <w:gridCol w:w="2082"/>
        <w:gridCol w:w="2062"/>
        <w:gridCol w:w="2045"/>
        <w:gridCol w:w="2082"/>
      </w:tblGrid>
      <w:tr w:rsidR="00DE24E5" w:rsidRPr="00713259" w:rsidTr="00777374">
        <w:tc>
          <w:tcPr>
            <w:tcW w:w="711" w:type="pct"/>
            <w:shd w:val="clear" w:color="auto" w:fill="C0C0C0"/>
          </w:tcPr>
          <w:p w:rsidR="00DE24E5" w:rsidRPr="00713259" w:rsidRDefault="00DE24E5" w:rsidP="00777374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723" w:type="pct"/>
            <w:shd w:val="clear" w:color="auto" w:fill="C0C0C0"/>
          </w:tcPr>
          <w:p w:rsidR="00DE24E5" w:rsidRPr="00713259" w:rsidRDefault="00DE24E5" w:rsidP="00777374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Carica</w:t>
            </w:r>
          </w:p>
        </w:tc>
        <w:tc>
          <w:tcPr>
            <w:tcW w:w="714" w:type="pct"/>
            <w:shd w:val="clear" w:color="auto" w:fill="C0C0C0"/>
          </w:tcPr>
          <w:p w:rsidR="00DE24E5" w:rsidRPr="00713259" w:rsidRDefault="00DE24E5" w:rsidP="00777374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Società partecipata</w:t>
            </w:r>
          </w:p>
        </w:tc>
        <w:tc>
          <w:tcPr>
            <w:tcW w:w="718" w:type="pct"/>
            <w:shd w:val="clear" w:color="auto" w:fill="C0C0C0"/>
          </w:tcPr>
          <w:p w:rsidR="00DE24E5" w:rsidRPr="00713259" w:rsidRDefault="00DE24E5" w:rsidP="006969F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N. azioni possedute alla fine dell’esercizio 201</w:t>
            </w:r>
            <w:r w:rsidR="007F2B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1" w:type="pct"/>
            <w:shd w:val="clear" w:color="auto" w:fill="C0C0C0"/>
          </w:tcPr>
          <w:p w:rsidR="00DE24E5" w:rsidRPr="00713259" w:rsidRDefault="00DE24E5" w:rsidP="00777374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N. azioni acquistate</w:t>
            </w:r>
          </w:p>
        </w:tc>
        <w:tc>
          <w:tcPr>
            <w:tcW w:w="705" w:type="pct"/>
            <w:shd w:val="clear" w:color="auto" w:fill="C0C0C0"/>
          </w:tcPr>
          <w:p w:rsidR="00DE24E5" w:rsidRPr="00713259" w:rsidRDefault="00DE24E5" w:rsidP="00777374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N. azioni vendute</w:t>
            </w:r>
          </w:p>
        </w:tc>
        <w:tc>
          <w:tcPr>
            <w:tcW w:w="718" w:type="pct"/>
            <w:shd w:val="clear" w:color="auto" w:fill="C0C0C0"/>
          </w:tcPr>
          <w:p w:rsidR="00DE24E5" w:rsidRPr="00713259" w:rsidRDefault="00DE24E5" w:rsidP="00777374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13259">
              <w:rPr>
                <w:b/>
                <w:sz w:val="16"/>
                <w:szCs w:val="16"/>
              </w:rPr>
              <w:t>N. azioni possedute alla fine dell’esercizio 201</w:t>
            </w:r>
            <w:r w:rsidR="007F2B99">
              <w:rPr>
                <w:b/>
                <w:sz w:val="16"/>
                <w:szCs w:val="16"/>
              </w:rPr>
              <w:t>4</w:t>
            </w:r>
          </w:p>
        </w:tc>
      </w:tr>
      <w:tr w:rsidR="003B0E35" w:rsidRPr="00713259" w:rsidTr="0098303C">
        <w:tc>
          <w:tcPr>
            <w:tcW w:w="711" w:type="pct"/>
            <w:vAlign w:val="center"/>
          </w:tcPr>
          <w:p w:rsidR="003B0E35" w:rsidRPr="00713259" w:rsidRDefault="003B0E35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Emilio Bolzoni</w:t>
            </w:r>
          </w:p>
        </w:tc>
        <w:tc>
          <w:tcPr>
            <w:tcW w:w="723" w:type="pct"/>
          </w:tcPr>
          <w:p w:rsidR="003B0E35" w:rsidRPr="00713259" w:rsidRDefault="003B0E35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13259">
              <w:rPr>
                <w:sz w:val="16"/>
                <w:szCs w:val="16"/>
              </w:rPr>
              <w:t xml:space="preserve">Presidente CdA </w:t>
            </w:r>
          </w:p>
        </w:tc>
        <w:tc>
          <w:tcPr>
            <w:tcW w:w="714" w:type="pct"/>
            <w:vAlign w:val="center"/>
          </w:tcPr>
          <w:p w:rsidR="003B0E35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B0E35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873</w:t>
            </w:r>
          </w:p>
        </w:tc>
        <w:tc>
          <w:tcPr>
            <w:tcW w:w="711" w:type="pct"/>
            <w:vAlign w:val="center"/>
          </w:tcPr>
          <w:p w:rsidR="003B0E35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B0E35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B0E35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873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Roberto Scotti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13259">
              <w:rPr>
                <w:sz w:val="16"/>
                <w:szCs w:val="16"/>
              </w:rPr>
              <w:t>D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913</w:t>
            </w:r>
          </w:p>
        </w:tc>
        <w:tc>
          <w:tcPr>
            <w:tcW w:w="711" w:type="pct"/>
            <w:vAlign w:val="center"/>
          </w:tcPr>
          <w:p w:rsidR="00331A3D" w:rsidRPr="00713259" w:rsidRDefault="007672AF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7672AF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87796F">
              <w:rPr>
                <w:sz w:val="16"/>
                <w:szCs w:val="16"/>
              </w:rPr>
              <w:t>.</w:t>
            </w:r>
            <w:r w:rsidR="00BC755E">
              <w:rPr>
                <w:sz w:val="16"/>
                <w:szCs w:val="16"/>
              </w:rPr>
              <w:t>913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Pier Luigi Magnelli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13259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</w:tcPr>
          <w:p w:rsidR="00331A3D" w:rsidRPr="00713259" w:rsidRDefault="00085735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3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267</w:t>
            </w:r>
          </w:p>
        </w:tc>
        <w:tc>
          <w:tcPr>
            <w:tcW w:w="711" w:type="pct"/>
            <w:vAlign w:val="center"/>
          </w:tcPr>
          <w:p w:rsidR="00331A3D" w:rsidRPr="00713259" w:rsidRDefault="00085735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137EDD" w:rsidP="00AC2E2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3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267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Luigi Pisani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13259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7672AF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34.002</w:t>
            </w:r>
          </w:p>
        </w:tc>
        <w:tc>
          <w:tcPr>
            <w:tcW w:w="718" w:type="pct"/>
            <w:vAlign w:val="center"/>
          </w:tcPr>
          <w:p w:rsidR="00331A3D" w:rsidRPr="00713259" w:rsidRDefault="007672AF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Franco Bolzoni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spacing w:before="120" w:after="120"/>
              <w:jc w:val="center"/>
            </w:pPr>
            <w:r w:rsidRPr="00713259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726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7672AF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166.665</w:t>
            </w:r>
          </w:p>
        </w:tc>
        <w:tc>
          <w:tcPr>
            <w:tcW w:w="718" w:type="pct"/>
            <w:vAlign w:val="center"/>
          </w:tcPr>
          <w:p w:rsidR="00331A3D" w:rsidRPr="00713259" w:rsidRDefault="007672AF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42.061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Davide Turco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spacing w:before="120" w:after="120"/>
              <w:jc w:val="center"/>
            </w:pPr>
            <w:r w:rsidRPr="00713259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  <w:lang w:val="de-DE"/>
              </w:rPr>
              <w:t>Karl-Peter Staack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6B6062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282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282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Raimondo Cinti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6B6062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4F1C86">
              <w:rPr>
                <w:sz w:val="18"/>
                <w:szCs w:val="14"/>
              </w:rPr>
              <w:t>Giovanni Salsi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6B6062"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001EC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000</w:t>
            </w:r>
          </w:p>
        </w:tc>
      </w:tr>
      <w:tr w:rsidR="001370E4" w:rsidRPr="00713259" w:rsidTr="003B50E1">
        <w:tc>
          <w:tcPr>
            <w:tcW w:w="711" w:type="pct"/>
            <w:vAlign w:val="center"/>
          </w:tcPr>
          <w:p w:rsidR="001370E4" w:rsidRPr="004F1C86" w:rsidRDefault="001370E4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Paolo Mazzoni</w:t>
            </w:r>
          </w:p>
        </w:tc>
        <w:tc>
          <w:tcPr>
            <w:tcW w:w="723" w:type="pct"/>
          </w:tcPr>
          <w:p w:rsidR="001370E4" w:rsidRPr="006B6062" w:rsidRDefault="001370E4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1370E4" w:rsidRPr="00D001EC" w:rsidRDefault="001370E4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1370E4" w:rsidRDefault="001370E4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1C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570</w:t>
            </w:r>
            <w:r w:rsidR="00231C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711" w:type="pct"/>
            <w:vAlign w:val="center"/>
          </w:tcPr>
          <w:p w:rsidR="001370E4" w:rsidRDefault="001370E4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1370E4" w:rsidRDefault="00C61A38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668.335</w:t>
            </w:r>
          </w:p>
        </w:tc>
        <w:tc>
          <w:tcPr>
            <w:tcW w:w="718" w:type="pct"/>
            <w:vAlign w:val="center"/>
          </w:tcPr>
          <w:p w:rsidR="001370E4" w:rsidRDefault="007F2B99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901.665</w:t>
            </w:r>
          </w:p>
        </w:tc>
      </w:tr>
      <w:tr w:rsidR="008B68D9" w:rsidRPr="00713259" w:rsidTr="003B50E1">
        <w:tc>
          <w:tcPr>
            <w:tcW w:w="711" w:type="pct"/>
            <w:vAlign w:val="center"/>
          </w:tcPr>
          <w:p w:rsidR="008B68D9" w:rsidRPr="007B4F48" w:rsidRDefault="008B68D9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Claudio Berretti</w:t>
            </w:r>
          </w:p>
        </w:tc>
        <w:tc>
          <w:tcPr>
            <w:tcW w:w="723" w:type="pct"/>
          </w:tcPr>
          <w:p w:rsidR="008B68D9" w:rsidRPr="00713259" w:rsidRDefault="008B68D9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Amministratore</w:t>
            </w:r>
          </w:p>
        </w:tc>
        <w:tc>
          <w:tcPr>
            <w:tcW w:w="714" w:type="pct"/>
          </w:tcPr>
          <w:p w:rsidR="008B68D9" w:rsidRPr="00705FF0" w:rsidRDefault="008B68D9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8B68D9" w:rsidRDefault="008B68D9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pct"/>
            <w:vAlign w:val="center"/>
          </w:tcPr>
          <w:p w:rsidR="008B68D9" w:rsidRDefault="008B68D9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8B68D9" w:rsidRDefault="008B68D9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8B68D9" w:rsidRDefault="008B68D9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1A3D" w:rsidRPr="00713259" w:rsidTr="00345647">
        <w:trPr>
          <w:trHeight w:val="470"/>
        </w:trPr>
        <w:tc>
          <w:tcPr>
            <w:tcW w:w="711" w:type="pct"/>
            <w:vAlign w:val="center"/>
          </w:tcPr>
          <w:p w:rsidR="00331A3D" w:rsidRPr="004F1C86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8"/>
                <w:szCs w:val="14"/>
              </w:rPr>
            </w:pPr>
            <w:r w:rsidRPr="007B4F48">
              <w:rPr>
                <w:sz w:val="18"/>
              </w:rPr>
              <w:t xml:space="preserve">Giorgio Picone 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13259">
              <w:rPr>
                <w:sz w:val="16"/>
                <w:szCs w:val="16"/>
              </w:rPr>
              <w:t>Presidente Collegio Sindacale</w:t>
            </w:r>
          </w:p>
        </w:tc>
        <w:tc>
          <w:tcPr>
            <w:tcW w:w="714" w:type="pct"/>
            <w:vAlign w:val="center"/>
          </w:tcPr>
          <w:p w:rsidR="00331A3D" w:rsidRPr="00713259" w:rsidRDefault="00331A3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5FF0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4929C2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29C2"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4F1C86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8"/>
                <w:szCs w:val="14"/>
              </w:rPr>
            </w:pPr>
            <w:smartTag w:uri="urn:schemas-microsoft-com:office:smarttags" w:element="PersonName">
              <w:smartTagPr>
                <w:attr w:name="ProductID" w:val="Carlo Baldi"/>
              </w:smartTagPr>
              <w:r>
                <w:rPr>
                  <w:sz w:val="18"/>
                </w:rPr>
                <w:t>Carlo Baldi</w:t>
              </w:r>
            </w:smartTag>
            <w:r w:rsidRPr="007B4F48">
              <w:rPr>
                <w:sz w:val="18"/>
              </w:rPr>
              <w:t xml:space="preserve"> 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13259">
              <w:rPr>
                <w:sz w:val="16"/>
                <w:szCs w:val="16"/>
              </w:rPr>
              <w:t>Sindaco effettivo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5FF0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1A3D" w:rsidRPr="00713259" w:rsidTr="003B50E1">
        <w:tc>
          <w:tcPr>
            <w:tcW w:w="711" w:type="pct"/>
            <w:vAlign w:val="center"/>
          </w:tcPr>
          <w:p w:rsidR="00331A3D" w:rsidRPr="004F1C86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8"/>
                <w:szCs w:val="14"/>
              </w:rPr>
            </w:pPr>
            <w:smartTag w:uri="urn:schemas-microsoft-com:office:smarttags" w:element="PersonName">
              <w:smartTagPr>
                <w:attr w:name="ProductID" w:val="Maria Gabriella Anelli"/>
              </w:smartTagPr>
              <w:r>
                <w:rPr>
                  <w:sz w:val="18"/>
                </w:rPr>
                <w:t>Maria Gabriella Anelli</w:t>
              </w:r>
            </w:smartTag>
            <w:r w:rsidRPr="00AE4A31">
              <w:rPr>
                <w:sz w:val="18"/>
              </w:rPr>
              <w:t xml:space="preserve"> </w:t>
            </w:r>
          </w:p>
        </w:tc>
        <w:tc>
          <w:tcPr>
            <w:tcW w:w="723" w:type="pct"/>
          </w:tcPr>
          <w:p w:rsidR="00331A3D" w:rsidRPr="00713259" w:rsidRDefault="00331A3D" w:rsidP="00777374">
            <w:pPr>
              <w:tabs>
                <w:tab w:val="left" w:pos="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13259">
              <w:rPr>
                <w:sz w:val="16"/>
                <w:szCs w:val="16"/>
              </w:rPr>
              <w:t>Sindaco effettivo</w:t>
            </w:r>
          </w:p>
        </w:tc>
        <w:tc>
          <w:tcPr>
            <w:tcW w:w="714" w:type="pct"/>
          </w:tcPr>
          <w:p w:rsidR="00331A3D" w:rsidRPr="00713259" w:rsidRDefault="00331A3D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5FF0">
              <w:rPr>
                <w:sz w:val="16"/>
                <w:szCs w:val="16"/>
              </w:rPr>
              <w:t>Bolzoni S.p.A.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pct"/>
            <w:vAlign w:val="center"/>
          </w:tcPr>
          <w:p w:rsidR="00331A3D" w:rsidRPr="00713259" w:rsidRDefault="00BC755E" w:rsidP="0077737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763EB" w:rsidRDefault="000763EB" w:rsidP="00C95C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highlight w:val="yellow"/>
        </w:rPr>
      </w:pPr>
    </w:p>
    <w:p w:rsidR="00137EDD" w:rsidRPr="004D1107" w:rsidRDefault="00137EDD" w:rsidP="00B00247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</w:p>
    <w:p w:rsidR="002559CB" w:rsidRDefault="00DE24E5" w:rsidP="00AC2E2B">
      <w:pPr>
        <w:autoSpaceDE w:val="0"/>
        <w:autoSpaceDN w:val="0"/>
        <w:adjustRightInd w:val="0"/>
        <w:spacing w:before="120"/>
        <w:jc w:val="both"/>
      </w:pPr>
      <w:r w:rsidRPr="00713259">
        <w:t xml:space="preserve">Sono inclusi tutti i soggetti che nel corso dell'esercizio di riferimento hanno ricoperto le cariche di componente degli organi di </w:t>
      </w:r>
      <w:r w:rsidR="004E729E">
        <w:t xml:space="preserve">amministrazione e di </w:t>
      </w:r>
      <w:r w:rsidR="004E729E" w:rsidRPr="004E729E">
        <w:t xml:space="preserve">controllo </w:t>
      </w:r>
      <w:r w:rsidRPr="004E729E">
        <w:t xml:space="preserve">o di dirigente </w:t>
      </w:r>
      <w:r w:rsidR="004E729E" w:rsidRPr="004E729E">
        <w:t>con responsabilità strategiche</w:t>
      </w:r>
      <w:r w:rsidR="001860A8" w:rsidRPr="004E729E">
        <w:t xml:space="preserve"> </w:t>
      </w:r>
      <w:r w:rsidRPr="004E729E">
        <w:t xml:space="preserve"> anche per una frazione di anno.</w:t>
      </w:r>
    </w:p>
    <w:p w:rsidR="002559CB" w:rsidRDefault="002559CB" w:rsidP="00D041B3">
      <w:pPr>
        <w:spacing w:before="120"/>
        <w:jc w:val="right"/>
      </w:pPr>
    </w:p>
    <w:p w:rsidR="002559CB" w:rsidRDefault="002559CB" w:rsidP="00D041B3">
      <w:pPr>
        <w:spacing w:before="120"/>
        <w:jc w:val="right"/>
      </w:pPr>
    </w:p>
    <w:p w:rsidR="002559CB" w:rsidRDefault="002559CB" w:rsidP="00D041B3">
      <w:pPr>
        <w:spacing w:before="120"/>
        <w:jc w:val="right"/>
      </w:pPr>
    </w:p>
    <w:p w:rsidR="002559CB" w:rsidRDefault="002559CB" w:rsidP="00D041B3">
      <w:pPr>
        <w:spacing w:before="120"/>
        <w:jc w:val="right"/>
      </w:pPr>
    </w:p>
    <w:p w:rsidR="0088760B" w:rsidRDefault="00E92C14" w:rsidP="00D041B3">
      <w:pPr>
        <w:spacing w:before="120"/>
        <w:jc w:val="right"/>
      </w:pPr>
      <w:r>
        <w:t xml:space="preserve">                                                                                                                         Podenzano</w:t>
      </w:r>
      <w:r w:rsidR="00B00247">
        <w:t>,</w:t>
      </w:r>
      <w:r>
        <w:t xml:space="preserve"> 1</w:t>
      </w:r>
      <w:r w:rsidR="007F2B99">
        <w:t>2</w:t>
      </w:r>
      <w:r w:rsidR="00B00247">
        <w:t xml:space="preserve"> marzo</w:t>
      </w:r>
      <w:r>
        <w:t xml:space="preserve"> 201</w:t>
      </w:r>
      <w:r w:rsidR="007F2B99">
        <w:t>5</w:t>
      </w:r>
      <w:bookmarkStart w:id="12" w:name="_GoBack"/>
      <w:bookmarkEnd w:id="12"/>
    </w:p>
    <w:sectPr w:rsidR="0088760B" w:rsidSect="00DE24E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54" w:rsidRDefault="00D95F54">
      <w:r>
        <w:separator/>
      </w:r>
    </w:p>
  </w:endnote>
  <w:endnote w:type="continuationSeparator" w:id="0">
    <w:p w:rsidR="00D95F54" w:rsidRDefault="00D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E3" w:rsidRDefault="00D519E3" w:rsidP="00AA18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19E3" w:rsidRDefault="00D519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E3" w:rsidRPr="00AA1858" w:rsidRDefault="00D519E3" w:rsidP="00AA1858">
    <w:pPr>
      <w:pStyle w:val="Pidipagina"/>
      <w:framePr w:wrap="around" w:vAnchor="text" w:hAnchor="margin" w:xAlign="center" w:y="1"/>
      <w:rPr>
        <w:rStyle w:val="Numeropagina"/>
        <w:sz w:val="18"/>
        <w:szCs w:val="18"/>
      </w:rPr>
    </w:pPr>
    <w:r w:rsidRPr="00AA1858">
      <w:rPr>
        <w:rStyle w:val="Numeropagina"/>
        <w:sz w:val="18"/>
        <w:szCs w:val="18"/>
      </w:rPr>
      <w:fldChar w:fldCharType="begin"/>
    </w:r>
    <w:r w:rsidRPr="00AA1858">
      <w:rPr>
        <w:rStyle w:val="Numeropagina"/>
        <w:sz w:val="18"/>
        <w:szCs w:val="18"/>
      </w:rPr>
      <w:instrText xml:space="preserve">PAGE  </w:instrText>
    </w:r>
    <w:r w:rsidRPr="00AA1858">
      <w:rPr>
        <w:rStyle w:val="Numeropagina"/>
        <w:sz w:val="18"/>
        <w:szCs w:val="18"/>
      </w:rPr>
      <w:fldChar w:fldCharType="separate"/>
    </w:r>
    <w:r w:rsidR="00D82543">
      <w:rPr>
        <w:rStyle w:val="Numeropagina"/>
        <w:noProof/>
        <w:sz w:val="18"/>
        <w:szCs w:val="18"/>
      </w:rPr>
      <w:t>18</w:t>
    </w:r>
    <w:r w:rsidRPr="00AA1858">
      <w:rPr>
        <w:rStyle w:val="Numeropagina"/>
        <w:sz w:val="18"/>
        <w:szCs w:val="18"/>
      </w:rPr>
      <w:fldChar w:fldCharType="end"/>
    </w:r>
  </w:p>
  <w:p w:rsidR="00D519E3" w:rsidRPr="00AA1858" w:rsidRDefault="00D519E3" w:rsidP="00AA1858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E3" w:rsidRPr="00AA1858" w:rsidRDefault="00D519E3" w:rsidP="00AA1858">
    <w:pPr>
      <w:pStyle w:val="Pidipagina"/>
      <w:ind w:right="360"/>
      <w:jc w:val="center"/>
      <w:rPr>
        <w:sz w:val="18"/>
        <w:szCs w:val="18"/>
      </w:rPr>
    </w:pPr>
    <w:r w:rsidRPr="00AA185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54" w:rsidRDefault="00D95F54">
      <w:r>
        <w:separator/>
      </w:r>
    </w:p>
  </w:footnote>
  <w:footnote w:type="continuationSeparator" w:id="0">
    <w:p w:rsidR="00D95F54" w:rsidRDefault="00D9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96D"/>
    <w:multiLevelType w:val="hybridMultilevel"/>
    <w:tmpl w:val="9A74F040"/>
    <w:lvl w:ilvl="0" w:tplc="115C3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20A9E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CFA"/>
    <w:multiLevelType w:val="hybridMultilevel"/>
    <w:tmpl w:val="DCC05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811D8"/>
    <w:multiLevelType w:val="hybridMultilevel"/>
    <w:tmpl w:val="99AE4006"/>
    <w:lvl w:ilvl="0" w:tplc="8CA87D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E666F"/>
    <w:multiLevelType w:val="hybridMultilevel"/>
    <w:tmpl w:val="07A23B2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62258C5"/>
    <w:multiLevelType w:val="hybridMultilevel"/>
    <w:tmpl w:val="86D87112"/>
    <w:lvl w:ilvl="0" w:tplc="11D21AE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90F65"/>
    <w:multiLevelType w:val="hybridMultilevel"/>
    <w:tmpl w:val="9B36E9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F22D8D"/>
    <w:multiLevelType w:val="hybridMultilevel"/>
    <w:tmpl w:val="5BD683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1936F7"/>
    <w:multiLevelType w:val="hybridMultilevel"/>
    <w:tmpl w:val="D1B47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0986"/>
    <w:multiLevelType w:val="hybridMultilevel"/>
    <w:tmpl w:val="FB92AC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30731B"/>
    <w:multiLevelType w:val="hybridMultilevel"/>
    <w:tmpl w:val="304ADC3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C4027DE"/>
    <w:multiLevelType w:val="hybridMultilevel"/>
    <w:tmpl w:val="43AEC436"/>
    <w:lvl w:ilvl="0" w:tplc="810070AE">
      <w:start w:val="2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47194485"/>
    <w:multiLevelType w:val="hybridMultilevel"/>
    <w:tmpl w:val="C8784C8C"/>
    <w:lvl w:ilvl="0" w:tplc="0D525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B02"/>
    <w:multiLevelType w:val="hybridMultilevel"/>
    <w:tmpl w:val="807444D0"/>
    <w:lvl w:ilvl="0" w:tplc="6F188D9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A6DE0"/>
    <w:multiLevelType w:val="hybridMultilevel"/>
    <w:tmpl w:val="5748D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C5C4F"/>
    <w:multiLevelType w:val="hybridMultilevel"/>
    <w:tmpl w:val="F4CE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42F3"/>
    <w:multiLevelType w:val="hybridMultilevel"/>
    <w:tmpl w:val="EDFEEF94"/>
    <w:lvl w:ilvl="0" w:tplc="B8B2125E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A398B"/>
    <w:multiLevelType w:val="hybridMultilevel"/>
    <w:tmpl w:val="8118E190"/>
    <w:lvl w:ilvl="0" w:tplc="3C3E66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B"/>
    <w:rsid w:val="00004818"/>
    <w:rsid w:val="00007598"/>
    <w:rsid w:val="0001017E"/>
    <w:rsid w:val="000163A4"/>
    <w:rsid w:val="00026704"/>
    <w:rsid w:val="00027D9E"/>
    <w:rsid w:val="000374CB"/>
    <w:rsid w:val="00041F87"/>
    <w:rsid w:val="0005064E"/>
    <w:rsid w:val="00056692"/>
    <w:rsid w:val="00061B64"/>
    <w:rsid w:val="00061E99"/>
    <w:rsid w:val="000665F0"/>
    <w:rsid w:val="0007519F"/>
    <w:rsid w:val="000763EB"/>
    <w:rsid w:val="00081D86"/>
    <w:rsid w:val="0008289E"/>
    <w:rsid w:val="00085735"/>
    <w:rsid w:val="00090987"/>
    <w:rsid w:val="00090EAF"/>
    <w:rsid w:val="0009702C"/>
    <w:rsid w:val="000A07D1"/>
    <w:rsid w:val="000A0AEB"/>
    <w:rsid w:val="000A0CF7"/>
    <w:rsid w:val="000A74F4"/>
    <w:rsid w:val="000C04C9"/>
    <w:rsid w:val="000C292D"/>
    <w:rsid w:val="000C6618"/>
    <w:rsid w:val="000D1B1E"/>
    <w:rsid w:val="000E3490"/>
    <w:rsid w:val="000E533C"/>
    <w:rsid w:val="000E72EB"/>
    <w:rsid w:val="000F381A"/>
    <w:rsid w:val="000F3BE0"/>
    <w:rsid w:val="00102BA6"/>
    <w:rsid w:val="00107DDD"/>
    <w:rsid w:val="0013202D"/>
    <w:rsid w:val="00132310"/>
    <w:rsid w:val="001351FB"/>
    <w:rsid w:val="001370E4"/>
    <w:rsid w:val="00137EDD"/>
    <w:rsid w:val="001411E8"/>
    <w:rsid w:val="00144F7F"/>
    <w:rsid w:val="0015553B"/>
    <w:rsid w:val="001613F6"/>
    <w:rsid w:val="00171F68"/>
    <w:rsid w:val="0017595F"/>
    <w:rsid w:val="00175D30"/>
    <w:rsid w:val="00181687"/>
    <w:rsid w:val="001860A8"/>
    <w:rsid w:val="0019221A"/>
    <w:rsid w:val="001930E1"/>
    <w:rsid w:val="00194681"/>
    <w:rsid w:val="001A1891"/>
    <w:rsid w:val="001A1C0F"/>
    <w:rsid w:val="001A5166"/>
    <w:rsid w:val="001B3E44"/>
    <w:rsid w:val="001B410F"/>
    <w:rsid w:val="001D0E1E"/>
    <w:rsid w:val="001D595E"/>
    <w:rsid w:val="001D7945"/>
    <w:rsid w:val="001E2648"/>
    <w:rsid w:val="001E5519"/>
    <w:rsid w:val="0021140F"/>
    <w:rsid w:val="00223E10"/>
    <w:rsid w:val="00225F1B"/>
    <w:rsid w:val="00231CBB"/>
    <w:rsid w:val="00241D02"/>
    <w:rsid w:val="002435FB"/>
    <w:rsid w:val="00244B85"/>
    <w:rsid w:val="00245BC0"/>
    <w:rsid w:val="00250E45"/>
    <w:rsid w:val="00254550"/>
    <w:rsid w:val="002559CB"/>
    <w:rsid w:val="0027044A"/>
    <w:rsid w:val="00275E0F"/>
    <w:rsid w:val="00287BD2"/>
    <w:rsid w:val="002977E0"/>
    <w:rsid w:val="002A1F56"/>
    <w:rsid w:val="002C161E"/>
    <w:rsid w:val="002D3374"/>
    <w:rsid w:val="002D6876"/>
    <w:rsid w:val="002D7468"/>
    <w:rsid w:val="002E2BB1"/>
    <w:rsid w:val="00304B6E"/>
    <w:rsid w:val="0030558D"/>
    <w:rsid w:val="00311B1E"/>
    <w:rsid w:val="00312A93"/>
    <w:rsid w:val="00317027"/>
    <w:rsid w:val="00320ACF"/>
    <w:rsid w:val="00331A3D"/>
    <w:rsid w:val="00341E3D"/>
    <w:rsid w:val="00345647"/>
    <w:rsid w:val="003457DA"/>
    <w:rsid w:val="003723C6"/>
    <w:rsid w:val="00375F08"/>
    <w:rsid w:val="00377628"/>
    <w:rsid w:val="0038158D"/>
    <w:rsid w:val="003817C0"/>
    <w:rsid w:val="00386574"/>
    <w:rsid w:val="0039368A"/>
    <w:rsid w:val="003A0247"/>
    <w:rsid w:val="003B0281"/>
    <w:rsid w:val="003B0E35"/>
    <w:rsid w:val="003B17FB"/>
    <w:rsid w:val="003B50E1"/>
    <w:rsid w:val="003C20DF"/>
    <w:rsid w:val="003C304B"/>
    <w:rsid w:val="003C53D3"/>
    <w:rsid w:val="003C712A"/>
    <w:rsid w:val="003D0B1B"/>
    <w:rsid w:val="003D0DCB"/>
    <w:rsid w:val="003D4584"/>
    <w:rsid w:val="003D5F77"/>
    <w:rsid w:val="003E53A0"/>
    <w:rsid w:val="003E5433"/>
    <w:rsid w:val="003E5518"/>
    <w:rsid w:val="003E74C5"/>
    <w:rsid w:val="003E797E"/>
    <w:rsid w:val="003F7FC8"/>
    <w:rsid w:val="00400DF1"/>
    <w:rsid w:val="004045F3"/>
    <w:rsid w:val="004100FE"/>
    <w:rsid w:val="00412200"/>
    <w:rsid w:val="00413021"/>
    <w:rsid w:val="0042195E"/>
    <w:rsid w:val="004254A7"/>
    <w:rsid w:val="0043220A"/>
    <w:rsid w:val="00437DC6"/>
    <w:rsid w:val="00440AC3"/>
    <w:rsid w:val="00454FDA"/>
    <w:rsid w:val="00456A21"/>
    <w:rsid w:val="00457AE5"/>
    <w:rsid w:val="00464322"/>
    <w:rsid w:val="0046577E"/>
    <w:rsid w:val="004660E3"/>
    <w:rsid w:val="00476265"/>
    <w:rsid w:val="0048063D"/>
    <w:rsid w:val="0049117E"/>
    <w:rsid w:val="0049206F"/>
    <w:rsid w:val="004929C2"/>
    <w:rsid w:val="00495067"/>
    <w:rsid w:val="00495B52"/>
    <w:rsid w:val="00497E9C"/>
    <w:rsid w:val="004B0BAA"/>
    <w:rsid w:val="004B22A0"/>
    <w:rsid w:val="004B4FBF"/>
    <w:rsid w:val="004C7F14"/>
    <w:rsid w:val="004D1107"/>
    <w:rsid w:val="004E729E"/>
    <w:rsid w:val="004E7EF6"/>
    <w:rsid w:val="004F15B2"/>
    <w:rsid w:val="004F3303"/>
    <w:rsid w:val="004F37A0"/>
    <w:rsid w:val="004F3D57"/>
    <w:rsid w:val="004F62EF"/>
    <w:rsid w:val="00503132"/>
    <w:rsid w:val="00503D14"/>
    <w:rsid w:val="00505001"/>
    <w:rsid w:val="00506CDE"/>
    <w:rsid w:val="00510016"/>
    <w:rsid w:val="00514BC1"/>
    <w:rsid w:val="00517C78"/>
    <w:rsid w:val="005213B5"/>
    <w:rsid w:val="00522D5C"/>
    <w:rsid w:val="00527EA2"/>
    <w:rsid w:val="00532154"/>
    <w:rsid w:val="00541B8B"/>
    <w:rsid w:val="00546B49"/>
    <w:rsid w:val="005570B2"/>
    <w:rsid w:val="005657F8"/>
    <w:rsid w:val="00565F52"/>
    <w:rsid w:val="00572999"/>
    <w:rsid w:val="00580AB2"/>
    <w:rsid w:val="00585F96"/>
    <w:rsid w:val="00596ADD"/>
    <w:rsid w:val="005A2060"/>
    <w:rsid w:val="005B3F21"/>
    <w:rsid w:val="005B6186"/>
    <w:rsid w:val="005B652B"/>
    <w:rsid w:val="005C7274"/>
    <w:rsid w:val="005C794B"/>
    <w:rsid w:val="005D7FF4"/>
    <w:rsid w:val="005F0DBF"/>
    <w:rsid w:val="005F25D0"/>
    <w:rsid w:val="005F5D8F"/>
    <w:rsid w:val="005F694B"/>
    <w:rsid w:val="005F6D57"/>
    <w:rsid w:val="00601E2B"/>
    <w:rsid w:val="00604579"/>
    <w:rsid w:val="00614448"/>
    <w:rsid w:val="00614D29"/>
    <w:rsid w:val="00615DF5"/>
    <w:rsid w:val="00621218"/>
    <w:rsid w:val="0062642F"/>
    <w:rsid w:val="006268F4"/>
    <w:rsid w:val="006409F8"/>
    <w:rsid w:val="0065202E"/>
    <w:rsid w:val="0066634C"/>
    <w:rsid w:val="00667D30"/>
    <w:rsid w:val="00671169"/>
    <w:rsid w:val="006715E3"/>
    <w:rsid w:val="00680E1D"/>
    <w:rsid w:val="006830BA"/>
    <w:rsid w:val="006920EC"/>
    <w:rsid w:val="006969FD"/>
    <w:rsid w:val="006A1CF7"/>
    <w:rsid w:val="006B00F1"/>
    <w:rsid w:val="006B7D44"/>
    <w:rsid w:val="006C23E6"/>
    <w:rsid w:val="006C276D"/>
    <w:rsid w:val="006C636C"/>
    <w:rsid w:val="006D1E6A"/>
    <w:rsid w:val="006D53B4"/>
    <w:rsid w:val="006D7486"/>
    <w:rsid w:val="006E48E3"/>
    <w:rsid w:val="006F1B5A"/>
    <w:rsid w:val="006F66D5"/>
    <w:rsid w:val="007009F2"/>
    <w:rsid w:val="00702B89"/>
    <w:rsid w:val="00712655"/>
    <w:rsid w:val="00712B93"/>
    <w:rsid w:val="007166B3"/>
    <w:rsid w:val="00723405"/>
    <w:rsid w:val="0072345B"/>
    <w:rsid w:val="00727EE3"/>
    <w:rsid w:val="00733E98"/>
    <w:rsid w:val="0073426F"/>
    <w:rsid w:val="007355AE"/>
    <w:rsid w:val="0073577C"/>
    <w:rsid w:val="007672AF"/>
    <w:rsid w:val="00777374"/>
    <w:rsid w:val="00782B40"/>
    <w:rsid w:val="007844F0"/>
    <w:rsid w:val="0078621B"/>
    <w:rsid w:val="007A29E1"/>
    <w:rsid w:val="007A74CA"/>
    <w:rsid w:val="007B11BF"/>
    <w:rsid w:val="007B1D69"/>
    <w:rsid w:val="007B7D28"/>
    <w:rsid w:val="007C079A"/>
    <w:rsid w:val="007C1214"/>
    <w:rsid w:val="007D4AB6"/>
    <w:rsid w:val="007D60F2"/>
    <w:rsid w:val="007D6E6C"/>
    <w:rsid w:val="007F2B99"/>
    <w:rsid w:val="007F2C84"/>
    <w:rsid w:val="007F3589"/>
    <w:rsid w:val="007F611C"/>
    <w:rsid w:val="007F65A6"/>
    <w:rsid w:val="007F6864"/>
    <w:rsid w:val="0081020E"/>
    <w:rsid w:val="00813725"/>
    <w:rsid w:val="00816149"/>
    <w:rsid w:val="00817993"/>
    <w:rsid w:val="0082088B"/>
    <w:rsid w:val="008228BD"/>
    <w:rsid w:val="00824D7B"/>
    <w:rsid w:val="008320AB"/>
    <w:rsid w:val="008554B6"/>
    <w:rsid w:val="00866FF3"/>
    <w:rsid w:val="00871DCC"/>
    <w:rsid w:val="008731D7"/>
    <w:rsid w:val="0087658C"/>
    <w:rsid w:val="0087796F"/>
    <w:rsid w:val="00881017"/>
    <w:rsid w:val="0088215E"/>
    <w:rsid w:val="008859A0"/>
    <w:rsid w:val="0088743F"/>
    <w:rsid w:val="0088760B"/>
    <w:rsid w:val="0089551C"/>
    <w:rsid w:val="00895814"/>
    <w:rsid w:val="00896DF5"/>
    <w:rsid w:val="008B0610"/>
    <w:rsid w:val="008B68D9"/>
    <w:rsid w:val="008D2F8B"/>
    <w:rsid w:val="008D3BF6"/>
    <w:rsid w:val="008F1D89"/>
    <w:rsid w:val="00902CC6"/>
    <w:rsid w:val="00904795"/>
    <w:rsid w:val="00921403"/>
    <w:rsid w:val="009423E6"/>
    <w:rsid w:val="009461C1"/>
    <w:rsid w:val="00951569"/>
    <w:rsid w:val="00951A6B"/>
    <w:rsid w:val="0095765D"/>
    <w:rsid w:val="0096498F"/>
    <w:rsid w:val="00967F63"/>
    <w:rsid w:val="00981060"/>
    <w:rsid w:val="00981D2A"/>
    <w:rsid w:val="0098303C"/>
    <w:rsid w:val="009914B1"/>
    <w:rsid w:val="00997A82"/>
    <w:rsid w:val="009A099A"/>
    <w:rsid w:val="009B14E2"/>
    <w:rsid w:val="009B2432"/>
    <w:rsid w:val="009B4033"/>
    <w:rsid w:val="009B7F47"/>
    <w:rsid w:val="009C52AD"/>
    <w:rsid w:val="009C52CB"/>
    <w:rsid w:val="009C67B0"/>
    <w:rsid w:val="009C75DB"/>
    <w:rsid w:val="009D3FB4"/>
    <w:rsid w:val="009D69B0"/>
    <w:rsid w:val="009D6E49"/>
    <w:rsid w:val="009E13B3"/>
    <w:rsid w:val="009F2E72"/>
    <w:rsid w:val="00A0519D"/>
    <w:rsid w:val="00A06C10"/>
    <w:rsid w:val="00A20406"/>
    <w:rsid w:val="00A26C33"/>
    <w:rsid w:val="00A27A78"/>
    <w:rsid w:val="00A40E97"/>
    <w:rsid w:val="00A56112"/>
    <w:rsid w:val="00A60F45"/>
    <w:rsid w:val="00A67383"/>
    <w:rsid w:val="00A77A46"/>
    <w:rsid w:val="00A90762"/>
    <w:rsid w:val="00A90B7D"/>
    <w:rsid w:val="00A96A53"/>
    <w:rsid w:val="00AA1858"/>
    <w:rsid w:val="00AA32D1"/>
    <w:rsid w:val="00AA4762"/>
    <w:rsid w:val="00AA7315"/>
    <w:rsid w:val="00AA739C"/>
    <w:rsid w:val="00AB514A"/>
    <w:rsid w:val="00AC0202"/>
    <w:rsid w:val="00AC2E2B"/>
    <w:rsid w:val="00AC39D3"/>
    <w:rsid w:val="00AD165C"/>
    <w:rsid w:val="00AD67CB"/>
    <w:rsid w:val="00AD69FC"/>
    <w:rsid w:val="00AE2FED"/>
    <w:rsid w:val="00AE4BEF"/>
    <w:rsid w:val="00B00247"/>
    <w:rsid w:val="00B00F9F"/>
    <w:rsid w:val="00B11FB1"/>
    <w:rsid w:val="00B1387F"/>
    <w:rsid w:val="00B16C8B"/>
    <w:rsid w:val="00B24F2B"/>
    <w:rsid w:val="00B30F3F"/>
    <w:rsid w:val="00B313F7"/>
    <w:rsid w:val="00B34D3C"/>
    <w:rsid w:val="00B3689F"/>
    <w:rsid w:val="00B36C18"/>
    <w:rsid w:val="00B400F6"/>
    <w:rsid w:val="00B52708"/>
    <w:rsid w:val="00B55EED"/>
    <w:rsid w:val="00B56321"/>
    <w:rsid w:val="00B604B3"/>
    <w:rsid w:val="00B6440B"/>
    <w:rsid w:val="00B7150B"/>
    <w:rsid w:val="00B72197"/>
    <w:rsid w:val="00B75D67"/>
    <w:rsid w:val="00B76192"/>
    <w:rsid w:val="00B77ABC"/>
    <w:rsid w:val="00B81BCF"/>
    <w:rsid w:val="00B82F0C"/>
    <w:rsid w:val="00B849FB"/>
    <w:rsid w:val="00B87BF0"/>
    <w:rsid w:val="00B92025"/>
    <w:rsid w:val="00B94917"/>
    <w:rsid w:val="00BA01D6"/>
    <w:rsid w:val="00BA0696"/>
    <w:rsid w:val="00BB08AF"/>
    <w:rsid w:val="00BC755E"/>
    <w:rsid w:val="00BD03DA"/>
    <w:rsid w:val="00BD56B8"/>
    <w:rsid w:val="00BE70C5"/>
    <w:rsid w:val="00BF7FAD"/>
    <w:rsid w:val="00C10AE1"/>
    <w:rsid w:val="00C1536D"/>
    <w:rsid w:val="00C17EC6"/>
    <w:rsid w:val="00C230F3"/>
    <w:rsid w:val="00C46333"/>
    <w:rsid w:val="00C46368"/>
    <w:rsid w:val="00C501E7"/>
    <w:rsid w:val="00C5214E"/>
    <w:rsid w:val="00C558DD"/>
    <w:rsid w:val="00C55E80"/>
    <w:rsid w:val="00C61A38"/>
    <w:rsid w:val="00C74A47"/>
    <w:rsid w:val="00C816A3"/>
    <w:rsid w:val="00C81950"/>
    <w:rsid w:val="00C913DD"/>
    <w:rsid w:val="00C93B63"/>
    <w:rsid w:val="00C95C6D"/>
    <w:rsid w:val="00C97CA5"/>
    <w:rsid w:val="00CA6622"/>
    <w:rsid w:val="00CB4F7E"/>
    <w:rsid w:val="00CB5892"/>
    <w:rsid w:val="00CB7A02"/>
    <w:rsid w:val="00CC1FDE"/>
    <w:rsid w:val="00CC2475"/>
    <w:rsid w:val="00CC3B13"/>
    <w:rsid w:val="00CC3B24"/>
    <w:rsid w:val="00CE17B8"/>
    <w:rsid w:val="00CE4FA2"/>
    <w:rsid w:val="00CE62BF"/>
    <w:rsid w:val="00D041B3"/>
    <w:rsid w:val="00D05F9B"/>
    <w:rsid w:val="00D13374"/>
    <w:rsid w:val="00D16A72"/>
    <w:rsid w:val="00D209EF"/>
    <w:rsid w:val="00D22906"/>
    <w:rsid w:val="00D247DC"/>
    <w:rsid w:val="00D30344"/>
    <w:rsid w:val="00D3619D"/>
    <w:rsid w:val="00D37C1F"/>
    <w:rsid w:val="00D519E3"/>
    <w:rsid w:val="00D61B6A"/>
    <w:rsid w:val="00D61EF0"/>
    <w:rsid w:val="00D6602A"/>
    <w:rsid w:val="00D7548F"/>
    <w:rsid w:val="00D82543"/>
    <w:rsid w:val="00D82622"/>
    <w:rsid w:val="00D8549B"/>
    <w:rsid w:val="00D86739"/>
    <w:rsid w:val="00D91FD3"/>
    <w:rsid w:val="00D95F54"/>
    <w:rsid w:val="00D9656D"/>
    <w:rsid w:val="00D96FFA"/>
    <w:rsid w:val="00D970BB"/>
    <w:rsid w:val="00DB42E1"/>
    <w:rsid w:val="00DB5EDA"/>
    <w:rsid w:val="00DC016E"/>
    <w:rsid w:val="00DC1F4F"/>
    <w:rsid w:val="00DD5726"/>
    <w:rsid w:val="00DE1161"/>
    <w:rsid w:val="00DE24E5"/>
    <w:rsid w:val="00DE2549"/>
    <w:rsid w:val="00DE71C6"/>
    <w:rsid w:val="00DF169F"/>
    <w:rsid w:val="00DF1BDC"/>
    <w:rsid w:val="00DF50FA"/>
    <w:rsid w:val="00DF5E09"/>
    <w:rsid w:val="00E05869"/>
    <w:rsid w:val="00E1569F"/>
    <w:rsid w:val="00E169EA"/>
    <w:rsid w:val="00E20BA2"/>
    <w:rsid w:val="00E24D31"/>
    <w:rsid w:val="00E33C1D"/>
    <w:rsid w:val="00E340FF"/>
    <w:rsid w:val="00E43364"/>
    <w:rsid w:val="00E442B2"/>
    <w:rsid w:val="00E45008"/>
    <w:rsid w:val="00E56310"/>
    <w:rsid w:val="00E608DF"/>
    <w:rsid w:val="00E61953"/>
    <w:rsid w:val="00E643B6"/>
    <w:rsid w:val="00E65634"/>
    <w:rsid w:val="00E771E3"/>
    <w:rsid w:val="00E84E41"/>
    <w:rsid w:val="00E84FFC"/>
    <w:rsid w:val="00E910FF"/>
    <w:rsid w:val="00E92194"/>
    <w:rsid w:val="00E92C14"/>
    <w:rsid w:val="00EA16A7"/>
    <w:rsid w:val="00EA3B0E"/>
    <w:rsid w:val="00EA3C24"/>
    <w:rsid w:val="00EA4DA4"/>
    <w:rsid w:val="00EA7E21"/>
    <w:rsid w:val="00EB232B"/>
    <w:rsid w:val="00EC33C6"/>
    <w:rsid w:val="00EC6A4B"/>
    <w:rsid w:val="00ED0FE2"/>
    <w:rsid w:val="00ED23CD"/>
    <w:rsid w:val="00ED68C4"/>
    <w:rsid w:val="00EE1D0A"/>
    <w:rsid w:val="00EE6368"/>
    <w:rsid w:val="00EE74CC"/>
    <w:rsid w:val="00EF23BF"/>
    <w:rsid w:val="00F01E9A"/>
    <w:rsid w:val="00F1331C"/>
    <w:rsid w:val="00F2546A"/>
    <w:rsid w:val="00F35605"/>
    <w:rsid w:val="00F36060"/>
    <w:rsid w:val="00F408B5"/>
    <w:rsid w:val="00F44E63"/>
    <w:rsid w:val="00F548BE"/>
    <w:rsid w:val="00F54ECF"/>
    <w:rsid w:val="00F6006F"/>
    <w:rsid w:val="00F64BFD"/>
    <w:rsid w:val="00F65992"/>
    <w:rsid w:val="00F6600D"/>
    <w:rsid w:val="00F70816"/>
    <w:rsid w:val="00F75414"/>
    <w:rsid w:val="00F83F3A"/>
    <w:rsid w:val="00FA7CDF"/>
    <w:rsid w:val="00FC0878"/>
    <w:rsid w:val="00FC0A94"/>
    <w:rsid w:val="00FC4BA8"/>
    <w:rsid w:val="00FC5922"/>
    <w:rsid w:val="00FD3798"/>
    <w:rsid w:val="00FD7BE1"/>
    <w:rsid w:val="00FE1493"/>
    <w:rsid w:val="00FE2C47"/>
    <w:rsid w:val="00FE3CA0"/>
    <w:rsid w:val="00FE5CFA"/>
    <w:rsid w:val="00FF0AD2"/>
    <w:rsid w:val="00FF39C3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4B62568-FE78-4A36-ABC3-4B47BCA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7C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E24E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514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link w:val="Rientrocorpodeltesto"/>
    <w:rsid w:val="003817C0"/>
    <w:rPr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3817C0"/>
    <w:pPr>
      <w:spacing w:after="120"/>
      <w:ind w:left="283"/>
    </w:pPr>
  </w:style>
  <w:style w:type="paragraph" w:customStyle="1" w:styleId="Default">
    <w:name w:val="Default"/>
    <w:rsid w:val="00DE24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E24E5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semiHidden/>
    <w:rsid w:val="00FA7CDF"/>
    <w:rPr>
      <w:sz w:val="20"/>
      <w:szCs w:val="20"/>
    </w:rPr>
  </w:style>
  <w:style w:type="character" w:styleId="Rimandonotaapidipagina">
    <w:name w:val="footnote reference"/>
    <w:semiHidden/>
    <w:rsid w:val="00FA7CD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7A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AA18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185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1858"/>
  </w:style>
  <w:style w:type="paragraph" w:styleId="Paragrafoelenco">
    <w:name w:val="List Paragraph"/>
    <w:basedOn w:val="Normale"/>
    <w:uiPriority w:val="34"/>
    <w:qFormat/>
    <w:rsid w:val="006E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10CF-5EF7-4592-89A8-525FA53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4582</Words>
  <Characters>26120</Characters>
  <Application>Microsoft Office Word</Application>
  <DocSecurity>4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REMUNERAZIONE PER I SOCI</vt:lpstr>
    </vt:vector>
  </TitlesOfParts>
  <Company>HP</Company>
  <LinksUpToDate>false</LinksUpToDate>
  <CharactersWithSpaces>30641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REMUNERAZIONE PER I SOCI</dc:title>
  <dc:creator>GSalsi</dc:creator>
  <cp:lastModifiedBy>Bergonzi Marina</cp:lastModifiedBy>
  <cp:revision>2</cp:revision>
  <cp:lastPrinted>2015-03-16T15:07:00Z</cp:lastPrinted>
  <dcterms:created xsi:type="dcterms:W3CDTF">2015-03-30T15:32:00Z</dcterms:created>
  <dcterms:modified xsi:type="dcterms:W3CDTF">2015-03-30T15:32:00Z</dcterms:modified>
</cp:coreProperties>
</file>